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58C13" w14:textId="4A77A25C" w:rsidR="00864286" w:rsidRDefault="00864286" w:rsidP="00D924CC">
      <w:pPr>
        <w:jc w:val="both"/>
        <w:rPr>
          <w:rFonts w:cs="Arial"/>
          <w:b/>
        </w:rPr>
      </w:pPr>
      <w:r w:rsidRPr="009F59A6">
        <w:rPr>
          <w:rFonts w:cs="Arial"/>
          <w:b/>
        </w:rPr>
        <w:t xml:space="preserve">Report to the </w:t>
      </w:r>
      <w:r w:rsidR="00CA41F9" w:rsidRPr="009F59A6">
        <w:rPr>
          <w:rFonts w:cs="Arial"/>
          <w:b/>
        </w:rPr>
        <w:t>Cabinet M</w:t>
      </w:r>
      <w:r w:rsidRPr="009F59A6">
        <w:rPr>
          <w:rFonts w:cs="Arial"/>
          <w:b/>
        </w:rPr>
        <w:t>ember for Children</w:t>
      </w:r>
      <w:r w:rsidR="007551F0">
        <w:rPr>
          <w:rFonts w:cs="Arial"/>
          <w:b/>
        </w:rPr>
        <w:t>,</w:t>
      </w:r>
      <w:bookmarkStart w:id="0" w:name="_GoBack"/>
      <w:bookmarkEnd w:id="0"/>
      <w:r w:rsidRPr="009F59A6">
        <w:rPr>
          <w:rFonts w:cs="Arial"/>
          <w:b/>
        </w:rPr>
        <w:t xml:space="preserve"> Young People and Schools  </w:t>
      </w:r>
    </w:p>
    <w:p w14:paraId="68D01674" w14:textId="11FA4D64" w:rsidR="007551F0" w:rsidRPr="009F59A6" w:rsidRDefault="007551F0" w:rsidP="00D924CC">
      <w:pPr>
        <w:jc w:val="both"/>
        <w:rPr>
          <w:rFonts w:cs="Arial"/>
          <w:b/>
        </w:rPr>
      </w:pPr>
      <w:r>
        <w:rPr>
          <w:rFonts w:cs="Arial"/>
          <w:b/>
        </w:rPr>
        <w:t>Schools Budget 2016/17</w:t>
      </w:r>
    </w:p>
    <w:p w14:paraId="3A1B8334" w14:textId="77777777" w:rsidR="00864286" w:rsidRPr="009F59A6" w:rsidRDefault="00864286" w:rsidP="00D924CC">
      <w:pPr>
        <w:jc w:val="both"/>
        <w:rPr>
          <w:rFonts w:cs="Arial"/>
          <w:b/>
        </w:rPr>
      </w:pPr>
    </w:p>
    <w:p w14:paraId="4C85349C" w14:textId="19D90329" w:rsidR="00115513" w:rsidRPr="007C7B01" w:rsidRDefault="00864286" w:rsidP="00D924CC">
      <w:pPr>
        <w:jc w:val="both"/>
        <w:rPr>
          <w:rFonts w:cs="Arial"/>
          <w:b/>
          <w:sz w:val="28"/>
          <w:szCs w:val="28"/>
        </w:rPr>
      </w:pPr>
      <w:r w:rsidRPr="009F59A6">
        <w:rPr>
          <w:rFonts w:cs="Arial"/>
          <w:b/>
        </w:rPr>
        <w:tab/>
      </w:r>
      <w:r w:rsidRPr="009F59A6">
        <w:rPr>
          <w:rFonts w:cs="Arial"/>
          <w:b/>
        </w:rPr>
        <w:tab/>
      </w:r>
      <w:r w:rsidRPr="009F59A6">
        <w:rPr>
          <w:rFonts w:cs="Arial"/>
          <w:b/>
        </w:rPr>
        <w:tab/>
      </w:r>
      <w:r w:rsidRPr="009F59A6">
        <w:rPr>
          <w:rFonts w:cs="Arial"/>
          <w:b/>
        </w:rPr>
        <w:tab/>
      </w:r>
      <w:r w:rsidRPr="009F59A6">
        <w:rPr>
          <w:rFonts w:cs="Arial"/>
          <w:b/>
        </w:rPr>
        <w:tab/>
      </w:r>
      <w:r w:rsidRPr="009F59A6">
        <w:rPr>
          <w:rFonts w:cs="Arial"/>
          <w:b/>
        </w:rPr>
        <w:tab/>
      </w:r>
      <w:r w:rsidRPr="009F59A6">
        <w:rPr>
          <w:rFonts w:cs="Arial"/>
          <w:b/>
        </w:rPr>
        <w:tab/>
      </w:r>
      <w:r w:rsidRPr="009F59A6">
        <w:rPr>
          <w:rFonts w:cs="Arial"/>
          <w:b/>
        </w:rPr>
        <w:tab/>
      </w:r>
      <w:r w:rsidRPr="009F59A6">
        <w:rPr>
          <w:rFonts w:cs="Arial"/>
          <w:b/>
        </w:rPr>
        <w:tab/>
      </w:r>
      <w:r w:rsidRPr="009F59A6">
        <w:rPr>
          <w:rFonts w:cs="Arial"/>
          <w:b/>
        </w:rPr>
        <w:tab/>
      </w:r>
      <w:r w:rsidRPr="007C7B01">
        <w:rPr>
          <w:rFonts w:cs="Arial"/>
          <w:b/>
          <w:sz w:val="28"/>
          <w:szCs w:val="28"/>
        </w:rPr>
        <w:t xml:space="preserve">Appendix </w:t>
      </w:r>
      <w:r w:rsidR="007C7B01" w:rsidRPr="007C7B01">
        <w:rPr>
          <w:rFonts w:cs="Arial"/>
          <w:b/>
          <w:sz w:val="28"/>
          <w:szCs w:val="28"/>
        </w:rPr>
        <w:t>'</w:t>
      </w:r>
      <w:r w:rsidR="00115513" w:rsidRPr="007C7B01">
        <w:rPr>
          <w:rFonts w:cs="Arial"/>
          <w:b/>
          <w:sz w:val="28"/>
          <w:szCs w:val="28"/>
        </w:rPr>
        <w:t>A</w:t>
      </w:r>
      <w:r w:rsidR="007C7B01" w:rsidRPr="007C7B01">
        <w:rPr>
          <w:rFonts w:cs="Arial"/>
          <w:b/>
          <w:sz w:val="28"/>
          <w:szCs w:val="28"/>
        </w:rPr>
        <w:t>'</w:t>
      </w:r>
    </w:p>
    <w:p w14:paraId="2D4032E5" w14:textId="77777777" w:rsidR="00115513" w:rsidRPr="009F59A6" w:rsidRDefault="00115513" w:rsidP="00D924CC">
      <w:pPr>
        <w:jc w:val="both"/>
        <w:rPr>
          <w:rFonts w:cs="Arial"/>
          <w:b/>
          <w:u w:val="single"/>
        </w:rPr>
      </w:pPr>
    </w:p>
    <w:p w14:paraId="12ED3617" w14:textId="2F09BE8E" w:rsidR="00864286" w:rsidRPr="009F59A6" w:rsidRDefault="00864286" w:rsidP="00D924CC">
      <w:pPr>
        <w:pStyle w:val="NoSpacing"/>
        <w:jc w:val="both"/>
        <w:rPr>
          <w:rFonts w:eastAsia="Times New Roman"/>
          <w:lang w:eastAsia="en-GB"/>
        </w:rPr>
      </w:pPr>
      <w:r w:rsidRPr="009F59A6">
        <w:t xml:space="preserve">This Appendix to the Schools Budget </w:t>
      </w:r>
      <w:r w:rsidR="00824BA3" w:rsidRPr="009F59A6">
        <w:t>2016/17</w:t>
      </w:r>
      <w:r w:rsidRPr="009F59A6">
        <w:t xml:space="preserve"> report has been prepared following receipt of pupil data and Dedicated Schools Grant (DSG) allocation information </w:t>
      </w:r>
      <w:r w:rsidR="00860460" w:rsidRPr="009F59A6">
        <w:t>from the Education Funding Agency</w:t>
      </w:r>
      <w:r w:rsidR="007C7B01">
        <w:t xml:space="preserve"> (EFA)</w:t>
      </w:r>
      <w:r w:rsidR="00860460" w:rsidRPr="009F59A6">
        <w:t xml:space="preserve"> in mid-December 201</w:t>
      </w:r>
      <w:r w:rsidR="00824BA3" w:rsidRPr="009F59A6">
        <w:t>5</w:t>
      </w:r>
      <w:r w:rsidR="003075D7" w:rsidRPr="009F59A6">
        <w:t xml:space="preserve"> and presents the initial estimated budget position as at 18 December 201</w:t>
      </w:r>
      <w:r w:rsidR="00824BA3" w:rsidRPr="009F59A6">
        <w:t>5</w:t>
      </w:r>
      <w:r w:rsidR="00860460" w:rsidRPr="009F59A6">
        <w:t>.</w:t>
      </w:r>
      <w:r w:rsidR="003075D7" w:rsidRPr="009F59A6">
        <w:t xml:space="preserve">  A final </w:t>
      </w:r>
      <w:r w:rsidR="007C7B01">
        <w:t>A</w:t>
      </w:r>
      <w:r w:rsidR="003075D7" w:rsidRPr="009F59A6">
        <w:t xml:space="preserve">ppendix will be submitted to the Cabinet Member on </w:t>
      </w:r>
      <w:r w:rsidR="00824BA3" w:rsidRPr="009F59A6">
        <w:rPr>
          <w:rFonts w:eastAsia="Times New Roman"/>
          <w:lang w:eastAsia="en-GB"/>
        </w:rPr>
        <w:t>15 January 2016, following consultation with the Lancashire Schools Forum</w:t>
      </w:r>
      <w:r w:rsidR="003075D7" w:rsidRPr="009F59A6">
        <w:rPr>
          <w:rFonts w:eastAsia="Times New Roman"/>
          <w:lang w:eastAsia="en-GB"/>
        </w:rPr>
        <w:t>.</w:t>
      </w:r>
    </w:p>
    <w:p w14:paraId="3140BAFE" w14:textId="77777777" w:rsidR="00864286" w:rsidRPr="009F59A6" w:rsidRDefault="00864286" w:rsidP="00D924CC">
      <w:pPr>
        <w:pStyle w:val="NoSpacing"/>
        <w:jc w:val="both"/>
      </w:pPr>
    </w:p>
    <w:p w14:paraId="1B526350" w14:textId="77777777" w:rsidR="00860460" w:rsidRDefault="00860460" w:rsidP="00D924CC">
      <w:pPr>
        <w:pStyle w:val="ListParagraph"/>
        <w:tabs>
          <w:tab w:val="left" w:pos="1635"/>
        </w:tabs>
        <w:ind w:left="0"/>
        <w:jc w:val="both"/>
        <w:rPr>
          <w:rFonts w:cs="Arial"/>
          <w:b/>
        </w:rPr>
      </w:pPr>
      <w:r w:rsidRPr="009F59A6">
        <w:rPr>
          <w:rFonts w:cs="Arial"/>
          <w:b/>
        </w:rPr>
        <w:t xml:space="preserve">Summary </w:t>
      </w:r>
    </w:p>
    <w:p w14:paraId="33BECB4A" w14:textId="77777777" w:rsidR="007C7B01" w:rsidRPr="009F59A6" w:rsidRDefault="007C7B01" w:rsidP="00D924CC">
      <w:pPr>
        <w:pStyle w:val="ListParagraph"/>
        <w:tabs>
          <w:tab w:val="left" w:pos="1635"/>
        </w:tabs>
        <w:ind w:left="0"/>
        <w:jc w:val="both"/>
        <w:rPr>
          <w:rFonts w:cs="Arial"/>
          <w:b/>
        </w:rPr>
      </w:pPr>
    </w:p>
    <w:p w14:paraId="44D17ED5" w14:textId="3CC36516" w:rsidR="00860460" w:rsidRPr="009F59A6" w:rsidRDefault="00860460" w:rsidP="00D924CC">
      <w:pPr>
        <w:pStyle w:val="ListParagraph"/>
        <w:tabs>
          <w:tab w:val="left" w:pos="1635"/>
        </w:tabs>
        <w:ind w:left="0"/>
        <w:jc w:val="both"/>
        <w:rPr>
          <w:rFonts w:cs="Arial"/>
        </w:rPr>
      </w:pPr>
      <w:r w:rsidRPr="009F59A6">
        <w:rPr>
          <w:rFonts w:cs="Arial"/>
        </w:rPr>
        <w:t>On 1</w:t>
      </w:r>
      <w:r w:rsidR="00824BA3" w:rsidRPr="009F59A6">
        <w:rPr>
          <w:rFonts w:cs="Arial"/>
        </w:rPr>
        <w:t>0</w:t>
      </w:r>
      <w:r w:rsidRPr="009F59A6">
        <w:rPr>
          <w:rFonts w:cs="Arial"/>
        </w:rPr>
        <w:t xml:space="preserve"> December 201</w:t>
      </w:r>
      <w:r w:rsidR="00824BA3" w:rsidRPr="009F59A6">
        <w:rPr>
          <w:rFonts w:cs="Arial"/>
        </w:rPr>
        <w:t>5</w:t>
      </w:r>
      <w:r w:rsidRPr="009F59A6">
        <w:rPr>
          <w:rFonts w:cs="Arial"/>
        </w:rPr>
        <w:t>, the EFA provided the final schools block data based on the October 201</w:t>
      </w:r>
      <w:r w:rsidR="00824BA3" w:rsidRPr="009F59A6">
        <w:rPr>
          <w:rFonts w:cs="Arial"/>
        </w:rPr>
        <w:t xml:space="preserve">5 </w:t>
      </w:r>
      <w:r w:rsidRPr="009F59A6">
        <w:rPr>
          <w:rFonts w:cs="Arial"/>
        </w:rPr>
        <w:t xml:space="preserve">School Census to be used in the calculation of the Schools Budget for </w:t>
      </w:r>
      <w:r w:rsidR="00824BA3" w:rsidRPr="009F59A6">
        <w:rPr>
          <w:rFonts w:cs="Arial"/>
        </w:rPr>
        <w:t>2016/17</w:t>
      </w:r>
      <w:r w:rsidRPr="009F59A6">
        <w:rPr>
          <w:rFonts w:cs="Arial"/>
        </w:rPr>
        <w:t xml:space="preserve">. </w:t>
      </w:r>
    </w:p>
    <w:p w14:paraId="33FB9D0D" w14:textId="77777777" w:rsidR="00860460" w:rsidRPr="009F59A6" w:rsidRDefault="00860460" w:rsidP="00D924CC">
      <w:pPr>
        <w:pStyle w:val="ListParagraph"/>
        <w:tabs>
          <w:tab w:val="left" w:pos="1635"/>
        </w:tabs>
        <w:ind w:left="0"/>
        <w:jc w:val="both"/>
        <w:rPr>
          <w:rFonts w:cs="Arial"/>
        </w:rPr>
      </w:pPr>
    </w:p>
    <w:p w14:paraId="56C4D63C" w14:textId="73571FCE" w:rsidR="00824BA3" w:rsidRPr="009F59A6" w:rsidRDefault="00860460" w:rsidP="00D924CC">
      <w:pPr>
        <w:jc w:val="both"/>
        <w:rPr>
          <w:rFonts w:cs="Arial"/>
        </w:rPr>
      </w:pPr>
      <w:r w:rsidRPr="009F59A6">
        <w:rPr>
          <w:rFonts w:cs="Arial"/>
        </w:rPr>
        <w:t>The EFA sub</w:t>
      </w:r>
      <w:r w:rsidR="001C6807" w:rsidRPr="009F59A6">
        <w:rPr>
          <w:rFonts w:cs="Arial"/>
        </w:rPr>
        <w:t>-</w:t>
      </w:r>
      <w:r w:rsidRPr="009F59A6">
        <w:rPr>
          <w:rFonts w:cs="Arial"/>
        </w:rPr>
        <w:t xml:space="preserve">divide the DSG into three un-ring fenced blocks, namely: Early Years Block, Schools Block and High Needs Block.  </w:t>
      </w:r>
    </w:p>
    <w:p w14:paraId="585BA5D2" w14:textId="77777777" w:rsidR="00824BA3" w:rsidRPr="009F59A6" w:rsidRDefault="00824BA3" w:rsidP="00D924CC">
      <w:pPr>
        <w:jc w:val="both"/>
        <w:rPr>
          <w:rFonts w:cs="Arial"/>
        </w:rPr>
      </w:pPr>
    </w:p>
    <w:p w14:paraId="4EF543F4" w14:textId="77777777" w:rsidR="004B7BEE" w:rsidRPr="009F59A6" w:rsidRDefault="00860460" w:rsidP="00D924CC">
      <w:pPr>
        <w:jc w:val="both"/>
        <w:rPr>
          <w:rFonts w:cs="Arial"/>
        </w:rPr>
      </w:pPr>
      <w:r w:rsidRPr="009F59A6">
        <w:rPr>
          <w:rFonts w:cs="Arial"/>
        </w:rPr>
        <w:t xml:space="preserve">On </w:t>
      </w:r>
      <w:r w:rsidR="00E46999" w:rsidRPr="009F59A6">
        <w:rPr>
          <w:rFonts w:cs="Arial"/>
        </w:rPr>
        <w:t xml:space="preserve">17 </w:t>
      </w:r>
      <w:r w:rsidRPr="009F59A6">
        <w:rPr>
          <w:rFonts w:cs="Arial"/>
        </w:rPr>
        <w:t>December</w:t>
      </w:r>
      <w:r w:rsidR="00824BA3" w:rsidRPr="009F59A6">
        <w:rPr>
          <w:rFonts w:cs="Arial"/>
        </w:rPr>
        <w:t xml:space="preserve"> 2015</w:t>
      </w:r>
      <w:r w:rsidRPr="009F59A6">
        <w:rPr>
          <w:rFonts w:cs="Arial"/>
        </w:rPr>
        <w:t xml:space="preserve">, the EFA issued the </w:t>
      </w:r>
      <w:r w:rsidR="00824BA3" w:rsidRPr="009F59A6">
        <w:rPr>
          <w:rFonts w:cs="Arial"/>
        </w:rPr>
        <w:t>2016/17</w:t>
      </w:r>
      <w:r w:rsidRPr="009F59A6">
        <w:rPr>
          <w:rFonts w:cs="Arial"/>
        </w:rPr>
        <w:t xml:space="preserve"> Dedicated Schools Grant (DSG) allocation for </w:t>
      </w:r>
      <w:r w:rsidR="009562F4" w:rsidRPr="009F59A6">
        <w:rPr>
          <w:rFonts w:cs="Arial"/>
        </w:rPr>
        <w:t xml:space="preserve">Lancashire. </w:t>
      </w:r>
    </w:p>
    <w:p w14:paraId="323CB93D" w14:textId="77777777" w:rsidR="00D70A14" w:rsidRPr="009F59A6" w:rsidRDefault="00D70A14" w:rsidP="00D924CC">
      <w:pPr>
        <w:jc w:val="both"/>
        <w:rPr>
          <w:rFonts w:cs="Arial"/>
        </w:rPr>
      </w:pPr>
    </w:p>
    <w:p w14:paraId="5E9B2B94" w14:textId="77777777" w:rsidR="009562F4" w:rsidRPr="009F59A6" w:rsidRDefault="00D70A14" w:rsidP="00D924CC">
      <w:pPr>
        <w:jc w:val="both"/>
        <w:rPr>
          <w:rFonts w:cs="Arial"/>
        </w:rPr>
      </w:pPr>
      <w:r w:rsidRPr="009F59A6">
        <w:rPr>
          <w:rFonts w:cs="Arial"/>
        </w:rPr>
        <w:t xml:space="preserve">The DSG for </w:t>
      </w:r>
      <w:r w:rsidR="00824BA3" w:rsidRPr="009F59A6">
        <w:rPr>
          <w:rFonts w:cs="Arial"/>
        </w:rPr>
        <w:t>2016/17</w:t>
      </w:r>
      <w:r w:rsidR="009562F4" w:rsidRPr="009F59A6">
        <w:rPr>
          <w:rFonts w:cs="Arial"/>
        </w:rPr>
        <w:t xml:space="preserve"> comprises:</w:t>
      </w:r>
    </w:p>
    <w:p w14:paraId="01E3C57B" w14:textId="77777777" w:rsidR="002814F9" w:rsidRPr="009F59A6" w:rsidRDefault="009562F4" w:rsidP="00603A46">
      <w:pPr>
        <w:pStyle w:val="ListParagraph"/>
        <w:numPr>
          <w:ilvl w:val="0"/>
          <w:numId w:val="26"/>
        </w:numPr>
        <w:jc w:val="both"/>
        <w:rPr>
          <w:rFonts w:cs="Arial"/>
        </w:rPr>
      </w:pPr>
      <w:r w:rsidRPr="009F59A6">
        <w:rPr>
          <w:rFonts w:cs="Arial"/>
        </w:rPr>
        <w:t xml:space="preserve">Schools block </w:t>
      </w:r>
      <w:r w:rsidR="002814F9" w:rsidRPr="009F59A6">
        <w:rPr>
          <w:rFonts w:cs="Arial"/>
        </w:rPr>
        <w:t>–</w:t>
      </w:r>
      <w:r w:rsidRPr="009F59A6">
        <w:rPr>
          <w:rFonts w:cs="Arial"/>
        </w:rPr>
        <w:t xml:space="preserve"> </w:t>
      </w:r>
      <w:r w:rsidR="002814F9" w:rsidRPr="009F59A6">
        <w:rPr>
          <w:rFonts w:cs="Arial"/>
        </w:rPr>
        <w:t xml:space="preserve">This is </w:t>
      </w:r>
      <w:r w:rsidRPr="009F59A6">
        <w:rPr>
          <w:rFonts w:cs="Arial"/>
        </w:rPr>
        <w:t xml:space="preserve">based on </w:t>
      </w:r>
      <w:r w:rsidR="002814F9" w:rsidRPr="009F59A6">
        <w:rPr>
          <w:rFonts w:cs="Arial"/>
        </w:rPr>
        <w:t xml:space="preserve">the </w:t>
      </w:r>
      <w:r w:rsidRPr="009F59A6">
        <w:rPr>
          <w:rFonts w:cs="Arial"/>
        </w:rPr>
        <w:t>school block units of funding (SBUF)</w:t>
      </w:r>
      <w:r w:rsidR="002814F9" w:rsidRPr="009F59A6">
        <w:rPr>
          <w:rFonts w:cs="Arial"/>
        </w:rPr>
        <w:t>.  The EFA have confirmed that the 2016/17 SBUF will be the same value as in 2015/16, subject to some minor adjustments to take account of funding and pupil numbers at Lancashire Non-Recoupment Academies (NRAs), which are now included in the Schools Block DSG allocation in exactly the same way as other schools and academies.  The result of this adjustment increases Lancashire's SBUF marginally from £4,478.54 to £4,481.89 in 2016/17.</w:t>
      </w:r>
    </w:p>
    <w:p w14:paraId="1A1BA4B3" w14:textId="77777777" w:rsidR="004B7BEE" w:rsidRPr="009F59A6" w:rsidRDefault="009562F4" w:rsidP="00D924CC">
      <w:pPr>
        <w:pStyle w:val="ListParagraph"/>
        <w:numPr>
          <w:ilvl w:val="0"/>
          <w:numId w:val="26"/>
        </w:numPr>
        <w:jc w:val="both"/>
        <w:rPr>
          <w:rFonts w:cs="Arial"/>
        </w:rPr>
      </w:pPr>
      <w:r w:rsidRPr="009F59A6">
        <w:rPr>
          <w:rFonts w:cs="Arial"/>
        </w:rPr>
        <w:t>Early years block covering:</w:t>
      </w:r>
    </w:p>
    <w:p w14:paraId="318A3688" w14:textId="77777777" w:rsidR="004B7BEE" w:rsidRPr="009F59A6" w:rsidRDefault="009562F4" w:rsidP="00D924CC">
      <w:pPr>
        <w:pStyle w:val="ListParagraph"/>
        <w:numPr>
          <w:ilvl w:val="1"/>
          <w:numId w:val="26"/>
        </w:numPr>
        <w:jc w:val="both"/>
        <w:rPr>
          <w:rFonts w:cs="Arial"/>
        </w:rPr>
      </w:pPr>
      <w:r w:rsidRPr="009F59A6">
        <w:rPr>
          <w:rFonts w:cs="Arial"/>
        </w:rPr>
        <w:t>The three and four year old entitlement - set at th</w:t>
      </w:r>
      <w:r w:rsidR="00D70A14" w:rsidRPr="009F59A6">
        <w:rPr>
          <w:rFonts w:cs="Arial"/>
        </w:rPr>
        <w:t>e same per pupil rate as 201</w:t>
      </w:r>
      <w:r w:rsidR="00AF66CA" w:rsidRPr="009F59A6">
        <w:rPr>
          <w:rFonts w:cs="Arial"/>
        </w:rPr>
        <w:t>5</w:t>
      </w:r>
      <w:r w:rsidR="00D70A14" w:rsidRPr="009F59A6">
        <w:rPr>
          <w:rFonts w:cs="Arial"/>
        </w:rPr>
        <w:t>/</w:t>
      </w:r>
      <w:r w:rsidRPr="009F59A6">
        <w:rPr>
          <w:rFonts w:cs="Arial"/>
        </w:rPr>
        <w:t>1</w:t>
      </w:r>
      <w:r w:rsidR="00AF66CA" w:rsidRPr="009F59A6">
        <w:rPr>
          <w:rFonts w:cs="Arial"/>
        </w:rPr>
        <w:t>6</w:t>
      </w:r>
      <w:r w:rsidRPr="009F59A6">
        <w:rPr>
          <w:rFonts w:cs="Arial"/>
        </w:rPr>
        <w:t>;</w:t>
      </w:r>
    </w:p>
    <w:p w14:paraId="1E5ABF2C" w14:textId="77777777" w:rsidR="00AF66CA" w:rsidRPr="009F59A6" w:rsidRDefault="00AF66CA" w:rsidP="00D924CC">
      <w:pPr>
        <w:pStyle w:val="ListParagraph"/>
        <w:numPr>
          <w:ilvl w:val="1"/>
          <w:numId w:val="26"/>
        </w:numPr>
        <w:jc w:val="both"/>
        <w:rPr>
          <w:rFonts w:cs="Arial"/>
        </w:rPr>
      </w:pPr>
      <w:r w:rsidRPr="009F59A6">
        <w:rPr>
          <w:rFonts w:cs="Arial"/>
        </w:rPr>
        <w:t>The two year old entitlement - set at the same per pupil rate as 2015/16;</w:t>
      </w:r>
    </w:p>
    <w:p w14:paraId="1A64C491" w14:textId="77777777" w:rsidR="004B7BEE" w:rsidRPr="009F59A6" w:rsidRDefault="009562F4" w:rsidP="00D924CC">
      <w:pPr>
        <w:pStyle w:val="ListParagraph"/>
        <w:numPr>
          <w:ilvl w:val="1"/>
          <w:numId w:val="26"/>
        </w:numPr>
        <w:jc w:val="both"/>
        <w:rPr>
          <w:rFonts w:cs="Arial"/>
        </w:rPr>
      </w:pPr>
      <w:r w:rsidRPr="009F59A6">
        <w:rPr>
          <w:rFonts w:cs="Arial"/>
        </w:rPr>
        <w:t>The early years pupil premium - a provisional allocation as announced in October 2014;</w:t>
      </w:r>
    </w:p>
    <w:p w14:paraId="6EDCAB44" w14:textId="77777777" w:rsidR="004B7BEE" w:rsidRPr="009F59A6" w:rsidRDefault="009562F4" w:rsidP="00D924CC">
      <w:pPr>
        <w:pStyle w:val="ListParagraph"/>
        <w:numPr>
          <w:ilvl w:val="0"/>
          <w:numId w:val="26"/>
        </w:numPr>
        <w:jc w:val="both"/>
        <w:rPr>
          <w:rFonts w:cs="Arial"/>
        </w:rPr>
      </w:pPr>
      <w:r w:rsidRPr="009F59A6">
        <w:rPr>
          <w:rFonts w:cs="Arial"/>
        </w:rPr>
        <w:t>High needs block - the tot</w:t>
      </w:r>
      <w:r w:rsidR="00D70A14" w:rsidRPr="009F59A6">
        <w:rPr>
          <w:rFonts w:cs="Arial"/>
        </w:rPr>
        <w:t>al high needs block for 2014/</w:t>
      </w:r>
      <w:r w:rsidRPr="009F59A6">
        <w:rPr>
          <w:rFonts w:cs="Arial"/>
        </w:rPr>
        <w:t>15 has been carried forward plus:</w:t>
      </w:r>
    </w:p>
    <w:p w14:paraId="22A33FB9" w14:textId="77777777" w:rsidR="004B7BEE" w:rsidRPr="009F59A6" w:rsidRDefault="009562F4" w:rsidP="00D924CC">
      <w:pPr>
        <w:pStyle w:val="ListParagraph"/>
        <w:numPr>
          <w:ilvl w:val="1"/>
          <w:numId w:val="26"/>
        </w:numPr>
        <w:jc w:val="both"/>
        <w:rPr>
          <w:rFonts w:cs="Arial"/>
        </w:rPr>
      </w:pPr>
      <w:r w:rsidRPr="009F59A6">
        <w:rPr>
          <w:rFonts w:cs="Arial"/>
        </w:rPr>
        <w:t>Increase</w:t>
      </w:r>
      <w:r w:rsidR="00AF66CA" w:rsidRPr="009F59A6">
        <w:rPr>
          <w:rFonts w:cs="Arial"/>
        </w:rPr>
        <w:t xml:space="preserve"> in funding of £1.7m</w:t>
      </w:r>
      <w:r w:rsidRPr="009F59A6">
        <w:rPr>
          <w:rFonts w:cs="Arial"/>
        </w:rPr>
        <w:t>; and</w:t>
      </w:r>
    </w:p>
    <w:p w14:paraId="6BD064F6" w14:textId="77777777" w:rsidR="004B7BEE" w:rsidRPr="009F59A6" w:rsidRDefault="00AF66CA" w:rsidP="00D924CC">
      <w:pPr>
        <w:pStyle w:val="ListParagraph"/>
        <w:numPr>
          <w:ilvl w:val="1"/>
          <w:numId w:val="26"/>
        </w:numPr>
        <w:jc w:val="both"/>
        <w:rPr>
          <w:rFonts w:cs="Arial"/>
        </w:rPr>
      </w:pPr>
      <w:r w:rsidRPr="009F59A6">
        <w:rPr>
          <w:rFonts w:cs="Arial"/>
        </w:rPr>
        <w:t>Increased deduction in funding of £0.7m due to commissioned places</w:t>
      </w:r>
      <w:r w:rsidR="009562F4" w:rsidRPr="009F59A6">
        <w:rPr>
          <w:rFonts w:cs="Arial"/>
        </w:rPr>
        <w:t>.</w:t>
      </w:r>
    </w:p>
    <w:p w14:paraId="34BE1985" w14:textId="77777777" w:rsidR="00BF5755" w:rsidRPr="009F59A6" w:rsidRDefault="00BF5755" w:rsidP="00D924CC">
      <w:pPr>
        <w:jc w:val="both"/>
        <w:rPr>
          <w:rFonts w:cs="Arial"/>
        </w:rPr>
      </w:pPr>
    </w:p>
    <w:p w14:paraId="7BE5C95F" w14:textId="77777777" w:rsidR="00BF5755" w:rsidRPr="009F59A6" w:rsidRDefault="00BF5755" w:rsidP="00D924CC">
      <w:pPr>
        <w:jc w:val="both"/>
        <w:rPr>
          <w:rFonts w:cs="Arial"/>
        </w:rPr>
      </w:pPr>
      <w:r w:rsidRPr="009F59A6">
        <w:rPr>
          <w:rFonts w:cs="Arial"/>
        </w:rPr>
        <w:t>The DSG allocation notified is prior to adjustments for:</w:t>
      </w:r>
    </w:p>
    <w:p w14:paraId="396B3B59" w14:textId="77777777" w:rsidR="004B7BEE" w:rsidRPr="009F59A6" w:rsidRDefault="00BF5755" w:rsidP="00D924CC">
      <w:pPr>
        <w:pStyle w:val="ListParagraph"/>
        <w:numPr>
          <w:ilvl w:val="0"/>
          <w:numId w:val="26"/>
        </w:numPr>
        <w:jc w:val="both"/>
        <w:rPr>
          <w:rFonts w:cs="Arial"/>
        </w:rPr>
      </w:pPr>
      <w:r w:rsidRPr="009F59A6">
        <w:rPr>
          <w:rFonts w:cs="Arial"/>
        </w:rPr>
        <w:t>Academies recoupment from the schools block;</w:t>
      </w:r>
    </w:p>
    <w:p w14:paraId="61D0864B" w14:textId="77777777" w:rsidR="004B7BEE" w:rsidRPr="009F59A6" w:rsidRDefault="00BF5755" w:rsidP="00D924CC">
      <w:pPr>
        <w:pStyle w:val="ListParagraph"/>
        <w:numPr>
          <w:ilvl w:val="0"/>
          <w:numId w:val="26"/>
        </w:numPr>
        <w:jc w:val="both"/>
        <w:rPr>
          <w:rFonts w:cs="Arial"/>
        </w:rPr>
      </w:pPr>
      <w:r w:rsidRPr="009F59A6">
        <w:rPr>
          <w:rFonts w:cs="Arial"/>
        </w:rPr>
        <w:t>Deductions for high needs places in academies and non-maintained special schools;</w:t>
      </w:r>
    </w:p>
    <w:p w14:paraId="17BCD798" w14:textId="77777777" w:rsidR="004B7BEE" w:rsidRPr="009F59A6" w:rsidRDefault="00BF5755" w:rsidP="00D924CC">
      <w:pPr>
        <w:pStyle w:val="ListParagraph"/>
        <w:numPr>
          <w:ilvl w:val="0"/>
          <w:numId w:val="26"/>
        </w:numPr>
        <w:jc w:val="both"/>
        <w:rPr>
          <w:rFonts w:cs="Arial"/>
        </w:rPr>
      </w:pPr>
      <w:r w:rsidRPr="009F59A6">
        <w:rPr>
          <w:rFonts w:cs="Arial"/>
        </w:rPr>
        <w:t>Deduction for national copyright licences;</w:t>
      </w:r>
    </w:p>
    <w:p w14:paraId="42A7AEB8" w14:textId="77777777" w:rsidR="004B7BEE" w:rsidRPr="009F59A6" w:rsidRDefault="00BF5755" w:rsidP="00D924CC">
      <w:pPr>
        <w:pStyle w:val="ListParagraph"/>
        <w:numPr>
          <w:ilvl w:val="0"/>
          <w:numId w:val="26"/>
        </w:numPr>
        <w:jc w:val="both"/>
        <w:rPr>
          <w:rFonts w:cs="Arial"/>
        </w:rPr>
      </w:pPr>
      <w:r w:rsidRPr="009F59A6">
        <w:rPr>
          <w:rFonts w:cs="Arial"/>
        </w:rPr>
        <w:t>Updates to the funding for three and four year olds;</w:t>
      </w:r>
    </w:p>
    <w:p w14:paraId="35E6B424" w14:textId="77777777" w:rsidR="004B7BEE" w:rsidRPr="009F59A6" w:rsidRDefault="00AF66CA" w:rsidP="00D924CC">
      <w:pPr>
        <w:pStyle w:val="ListParagraph"/>
        <w:numPr>
          <w:ilvl w:val="0"/>
          <w:numId w:val="26"/>
        </w:numPr>
        <w:jc w:val="both"/>
        <w:rPr>
          <w:rFonts w:cs="Arial"/>
        </w:rPr>
      </w:pPr>
      <w:r w:rsidRPr="009F59A6">
        <w:rPr>
          <w:rFonts w:cs="Arial"/>
        </w:rPr>
        <w:lastRenderedPageBreak/>
        <w:t xml:space="preserve">Updates to the funding </w:t>
      </w:r>
      <w:r w:rsidR="00BF5755" w:rsidRPr="009F59A6">
        <w:rPr>
          <w:rFonts w:cs="Arial"/>
        </w:rPr>
        <w:t>two year olds; and</w:t>
      </w:r>
    </w:p>
    <w:p w14:paraId="6E99A71C" w14:textId="77777777" w:rsidR="004B7BEE" w:rsidRPr="009F59A6" w:rsidRDefault="00BF5755" w:rsidP="00D924CC">
      <w:pPr>
        <w:pStyle w:val="ListParagraph"/>
        <w:numPr>
          <w:ilvl w:val="0"/>
          <w:numId w:val="26"/>
        </w:numPr>
        <w:jc w:val="both"/>
        <w:rPr>
          <w:rFonts w:cs="Arial"/>
        </w:rPr>
      </w:pPr>
      <w:r w:rsidRPr="009F59A6">
        <w:rPr>
          <w:rFonts w:cs="Arial"/>
        </w:rPr>
        <w:t>Updates to the early years pupil premium.</w:t>
      </w:r>
    </w:p>
    <w:p w14:paraId="5D792069" w14:textId="77777777" w:rsidR="00362E03" w:rsidRPr="009F59A6" w:rsidRDefault="00362E03" w:rsidP="00D924CC">
      <w:pPr>
        <w:jc w:val="both"/>
        <w:rPr>
          <w:rFonts w:cs="Arial"/>
          <w:b/>
          <w:u w:val="single"/>
        </w:rPr>
      </w:pPr>
    </w:p>
    <w:p w14:paraId="0ADD4D4A" w14:textId="6332E8A5" w:rsidR="00BF5755" w:rsidRPr="007C7B01" w:rsidRDefault="00D03FA2" w:rsidP="00D924CC">
      <w:pPr>
        <w:jc w:val="both"/>
        <w:rPr>
          <w:rFonts w:cs="Arial"/>
          <w:b/>
          <w:u w:val="single"/>
        </w:rPr>
      </w:pPr>
      <w:r w:rsidRPr="007C7B01">
        <w:rPr>
          <w:rFonts w:cs="Arial"/>
          <w:b/>
          <w:u w:val="single"/>
        </w:rPr>
        <w:t>One</w:t>
      </w:r>
      <w:r w:rsidR="007C7B01" w:rsidRPr="007C7B01">
        <w:rPr>
          <w:rFonts w:cs="Arial"/>
          <w:b/>
          <w:u w:val="single"/>
        </w:rPr>
        <w:t>-off</w:t>
      </w:r>
      <w:r w:rsidRPr="007C7B01">
        <w:rPr>
          <w:rFonts w:cs="Arial"/>
          <w:b/>
          <w:u w:val="single"/>
        </w:rPr>
        <w:t xml:space="preserve"> allocation of </w:t>
      </w:r>
      <w:r w:rsidR="00BF5755" w:rsidRPr="007C7B01">
        <w:rPr>
          <w:rFonts w:cs="Arial"/>
          <w:b/>
          <w:u w:val="single"/>
        </w:rPr>
        <w:t xml:space="preserve">DSG </w:t>
      </w:r>
      <w:r w:rsidRPr="007C7B01">
        <w:rPr>
          <w:rFonts w:cs="Arial"/>
          <w:b/>
          <w:u w:val="single"/>
        </w:rPr>
        <w:t>reserves</w:t>
      </w:r>
    </w:p>
    <w:p w14:paraId="58ED9FBA" w14:textId="1F1F3416" w:rsidR="00BF5755" w:rsidRPr="009F59A6" w:rsidRDefault="00BF5755" w:rsidP="00D924CC">
      <w:pPr>
        <w:pStyle w:val="Header"/>
        <w:jc w:val="both"/>
        <w:rPr>
          <w:rFonts w:cs="Arial"/>
          <w:szCs w:val="24"/>
        </w:rPr>
      </w:pPr>
      <w:r w:rsidRPr="009F59A6">
        <w:rPr>
          <w:rFonts w:cs="Arial"/>
          <w:szCs w:val="24"/>
        </w:rPr>
        <w:t>In July 201</w:t>
      </w:r>
      <w:r w:rsidR="00854ECC" w:rsidRPr="009F59A6">
        <w:rPr>
          <w:rFonts w:cs="Arial"/>
          <w:szCs w:val="24"/>
        </w:rPr>
        <w:t>5</w:t>
      </w:r>
      <w:r w:rsidRPr="009F59A6">
        <w:rPr>
          <w:rFonts w:cs="Arial"/>
          <w:szCs w:val="24"/>
        </w:rPr>
        <w:t xml:space="preserve"> </w:t>
      </w:r>
      <w:r w:rsidR="004B7BEE" w:rsidRPr="009F59A6">
        <w:rPr>
          <w:rFonts w:cs="Arial"/>
          <w:szCs w:val="24"/>
        </w:rPr>
        <w:t>t</w:t>
      </w:r>
      <w:r w:rsidRPr="009F59A6">
        <w:rPr>
          <w:rFonts w:cs="Arial"/>
          <w:szCs w:val="24"/>
        </w:rPr>
        <w:t xml:space="preserve">he </w:t>
      </w:r>
      <w:r w:rsidR="004B7BEE" w:rsidRPr="009F59A6">
        <w:rPr>
          <w:rFonts w:cs="Arial"/>
          <w:szCs w:val="24"/>
        </w:rPr>
        <w:t>S</w:t>
      </w:r>
      <w:r w:rsidRPr="009F59A6">
        <w:rPr>
          <w:rFonts w:cs="Arial"/>
          <w:szCs w:val="24"/>
        </w:rPr>
        <w:t xml:space="preserve">chools </w:t>
      </w:r>
      <w:r w:rsidR="004B7BEE" w:rsidRPr="009F59A6">
        <w:rPr>
          <w:rFonts w:cs="Arial"/>
          <w:szCs w:val="24"/>
        </w:rPr>
        <w:t>F</w:t>
      </w:r>
      <w:r w:rsidRPr="009F59A6">
        <w:rPr>
          <w:rFonts w:cs="Arial"/>
          <w:szCs w:val="24"/>
        </w:rPr>
        <w:t xml:space="preserve">orum supported funding held in the DSG reserve over </w:t>
      </w:r>
      <w:r w:rsidR="001C6807" w:rsidRPr="009F59A6">
        <w:rPr>
          <w:rFonts w:cs="Arial"/>
          <w:szCs w:val="24"/>
        </w:rPr>
        <w:t xml:space="preserve">and above </w:t>
      </w:r>
      <w:r w:rsidRPr="009F59A6">
        <w:rPr>
          <w:rFonts w:cs="Arial"/>
          <w:szCs w:val="24"/>
        </w:rPr>
        <w:t xml:space="preserve">£8.4m </w:t>
      </w:r>
      <w:r w:rsidR="001C6807" w:rsidRPr="009F59A6">
        <w:rPr>
          <w:rFonts w:cs="Arial"/>
          <w:szCs w:val="24"/>
        </w:rPr>
        <w:t>would</w:t>
      </w:r>
      <w:r w:rsidRPr="009F59A6">
        <w:rPr>
          <w:rFonts w:cs="Arial"/>
          <w:szCs w:val="24"/>
        </w:rPr>
        <w:t xml:space="preserve"> be distributed on a one</w:t>
      </w:r>
      <w:r w:rsidR="007C7B01">
        <w:rPr>
          <w:rFonts w:cs="Arial"/>
          <w:szCs w:val="24"/>
        </w:rPr>
        <w:t>-</w:t>
      </w:r>
      <w:r w:rsidRPr="009F59A6">
        <w:rPr>
          <w:rFonts w:cs="Arial"/>
          <w:szCs w:val="24"/>
        </w:rPr>
        <w:t>off basis in 201</w:t>
      </w:r>
      <w:r w:rsidR="00DB5CB5" w:rsidRPr="009F59A6">
        <w:rPr>
          <w:rFonts w:cs="Arial"/>
          <w:szCs w:val="24"/>
        </w:rPr>
        <w:t>6</w:t>
      </w:r>
      <w:r w:rsidRPr="009F59A6">
        <w:rPr>
          <w:rFonts w:cs="Arial"/>
          <w:szCs w:val="24"/>
        </w:rPr>
        <w:t>/1</w:t>
      </w:r>
      <w:r w:rsidR="00DB5CB5" w:rsidRPr="009F59A6">
        <w:rPr>
          <w:rFonts w:cs="Arial"/>
          <w:szCs w:val="24"/>
        </w:rPr>
        <w:t>7</w:t>
      </w:r>
      <w:r w:rsidRPr="009F59A6">
        <w:rPr>
          <w:rFonts w:cs="Arial"/>
          <w:szCs w:val="24"/>
        </w:rPr>
        <w:t>, in accordance with decisions to be taken as part of the budget setting process. The amount to be allocated is £</w:t>
      </w:r>
      <w:r w:rsidR="00DB5CB5" w:rsidRPr="009F59A6">
        <w:rPr>
          <w:rFonts w:cs="Arial"/>
          <w:szCs w:val="24"/>
        </w:rPr>
        <w:t>6.164</w:t>
      </w:r>
      <w:r w:rsidR="00120462" w:rsidRPr="009F59A6">
        <w:rPr>
          <w:rFonts w:cs="Arial"/>
          <w:szCs w:val="24"/>
        </w:rPr>
        <w:t>m</w:t>
      </w:r>
      <w:r w:rsidRPr="009F59A6">
        <w:rPr>
          <w:rFonts w:cs="Arial"/>
          <w:szCs w:val="24"/>
        </w:rPr>
        <w:t>.</w:t>
      </w:r>
    </w:p>
    <w:p w14:paraId="2F159895" w14:textId="77777777" w:rsidR="00BF5755" w:rsidRPr="009F59A6" w:rsidRDefault="00BF5755" w:rsidP="00D924CC">
      <w:pPr>
        <w:jc w:val="both"/>
        <w:rPr>
          <w:rFonts w:cs="Arial"/>
        </w:rPr>
      </w:pPr>
    </w:p>
    <w:p w14:paraId="6A8B6930" w14:textId="77777777" w:rsidR="00EC2DD0" w:rsidRPr="007C7B01" w:rsidRDefault="00EC2DD0" w:rsidP="00D924CC">
      <w:pPr>
        <w:jc w:val="both"/>
        <w:rPr>
          <w:rFonts w:cs="Arial"/>
          <w:b/>
          <w:u w:val="single"/>
        </w:rPr>
      </w:pPr>
      <w:r w:rsidRPr="007C7B01">
        <w:rPr>
          <w:rFonts w:cs="Arial"/>
          <w:b/>
          <w:u w:val="single"/>
        </w:rPr>
        <w:t>Budget setting basis</w:t>
      </w:r>
    </w:p>
    <w:p w14:paraId="014F4735" w14:textId="77777777" w:rsidR="00EC03A9" w:rsidRPr="009F59A6" w:rsidRDefault="00EC03A9" w:rsidP="00D924CC">
      <w:pPr>
        <w:jc w:val="both"/>
        <w:rPr>
          <w:rFonts w:cs="Arial"/>
        </w:rPr>
      </w:pPr>
      <w:r w:rsidRPr="009F59A6">
        <w:rPr>
          <w:rFonts w:cs="Arial"/>
        </w:rPr>
        <w:t xml:space="preserve">For the purpose of this paper, the schools budget refers to all budgets in the three funding blocks. The schools budget setting process for </w:t>
      </w:r>
      <w:r w:rsidR="00860460" w:rsidRPr="009F59A6">
        <w:rPr>
          <w:rFonts w:cs="Arial"/>
        </w:rPr>
        <w:t xml:space="preserve">the </w:t>
      </w:r>
      <w:r w:rsidR="002814F9" w:rsidRPr="009F59A6">
        <w:rPr>
          <w:rFonts w:cs="Arial"/>
        </w:rPr>
        <w:t>2016/17</w:t>
      </w:r>
      <w:r w:rsidR="00860460" w:rsidRPr="009F59A6">
        <w:rPr>
          <w:rFonts w:cs="Arial"/>
        </w:rPr>
        <w:t xml:space="preserve"> </w:t>
      </w:r>
      <w:r w:rsidRPr="009F59A6">
        <w:rPr>
          <w:rFonts w:cs="Arial"/>
        </w:rPr>
        <w:t>financial year can only be set by considering the interactions of the three funding blocks</w:t>
      </w:r>
      <w:r w:rsidR="00860460" w:rsidRPr="009F59A6">
        <w:rPr>
          <w:rFonts w:cs="Arial"/>
        </w:rPr>
        <w:t xml:space="preserve"> together. </w:t>
      </w:r>
    </w:p>
    <w:p w14:paraId="596B7DE4" w14:textId="77777777" w:rsidR="007B1A7E" w:rsidRPr="009F59A6" w:rsidRDefault="007B1A7E" w:rsidP="00D924CC">
      <w:pPr>
        <w:jc w:val="both"/>
        <w:rPr>
          <w:rFonts w:cs="Arial"/>
        </w:rPr>
      </w:pPr>
    </w:p>
    <w:p w14:paraId="0BC9722B" w14:textId="77777777" w:rsidR="007B1A7E" w:rsidRPr="009F59A6" w:rsidRDefault="007B1A7E" w:rsidP="00D924CC">
      <w:pPr>
        <w:jc w:val="both"/>
        <w:rPr>
          <w:rFonts w:cs="Arial"/>
        </w:rPr>
      </w:pPr>
      <w:r w:rsidRPr="009F59A6">
        <w:rPr>
          <w:rFonts w:cs="Arial"/>
        </w:rPr>
        <w:t>Annex A provides information on the agreed funding formulae to be used in the calculation of each of the funding blocks.</w:t>
      </w:r>
    </w:p>
    <w:p w14:paraId="4A2D8E7F" w14:textId="77777777" w:rsidR="00860460" w:rsidRPr="009F59A6" w:rsidRDefault="00860460" w:rsidP="00D924CC">
      <w:pPr>
        <w:ind w:left="720"/>
        <w:contextualSpacing/>
        <w:jc w:val="both"/>
        <w:rPr>
          <w:rFonts w:cs="Arial"/>
        </w:rPr>
      </w:pPr>
    </w:p>
    <w:p w14:paraId="50C084CA" w14:textId="77777777" w:rsidR="00EC03A9" w:rsidRPr="009F59A6" w:rsidRDefault="00BF5755" w:rsidP="00D924CC">
      <w:pPr>
        <w:pStyle w:val="Header"/>
        <w:jc w:val="both"/>
        <w:rPr>
          <w:rFonts w:cs="Arial"/>
          <w:b/>
          <w:szCs w:val="24"/>
          <w:u w:val="single"/>
        </w:rPr>
      </w:pPr>
      <w:r w:rsidRPr="009F59A6">
        <w:rPr>
          <w:rFonts w:cs="Arial"/>
          <w:b/>
          <w:szCs w:val="24"/>
          <w:u w:val="single"/>
        </w:rPr>
        <w:t>Forecast funding available</w:t>
      </w:r>
      <w:r w:rsidR="00860460" w:rsidRPr="009F59A6">
        <w:rPr>
          <w:rFonts w:cs="Arial"/>
          <w:b/>
          <w:szCs w:val="24"/>
          <w:u w:val="single"/>
        </w:rPr>
        <w:t xml:space="preserve"> </w:t>
      </w:r>
      <w:r w:rsidR="00706AB9" w:rsidRPr="009F59A6">
        <w:rPr>
          <w:rFonts w:cs="Arial"/>
          <w:b/>
          <w:szCs w:val="24"/>
          <w:u w:val="single"/>
        </w:rPr>
        <w:t>2016/17</w:t>
      </w:r>
    </w:p>
    <w:p w14:paraId="64150D77" w14:textId="11FCA8D1" w:rsidR="00A66163" w:rsidRPr="009F59A6" w:rsidRDefault="00A66163" w:rsidP="00D924CC">
      <w:pPr>
        <w:jc w:val="both"/>
        <w:rPr>
          <w:rFonts w:cs="Arial"/>
        </w:rPr>
      </w:pPr>
      <w:r w:rsidRPr="009F59A6">
        <w:rPr>
          <w:rFonts w:cs="Arial"/>
        </w:rPr>
        <w:t xml:space="preserve">The forecast </w:t>
      </w:r>
      <w:r w:rsidR="00BF5755" w:rsidRPr="009F59A6">
        <w:rPr>
          <w:rFonts w:cs="Arial"/>
        </w:rPr>
        <w:t xml:space="preserve">funding </w:t>
      </w:r>
      <w:r w:rsidRPr="009F59A6">
        <w:rPr>
          <w:rFonts w:cs="Arial"/>
        </w:rPr>
        <w:t xml:space="preserve">to be used in </w:t>
      </w:r>
      <w:r w:rsidR="00D70A14" w:rsidRPr="009F59A6">
        <w:rPr>
          <w:rFonts w:cs="Arial"/>
        </w:rPr>
        <w:t xml:space="preserve">the </w:t>
      </w:r>
      <w:r w:rsidRPr="009F59A6">
        <w:rPr>
          <w:rFonts w:cs="Arial"/>
        </w:rPr>
        <w:t xml:space="preserve">calculation </w:t>
      </w:r>
      <w:r w:rsidR="00D70A14" w:rsidRPr="009F59A6">
        <w:rPr>
          <w:rFonts w:cs="Arial"/>
        </w:rPr>
        <w:t xml:space="preserve">of </w:t>
      </w:r>
      <w:r w:rsidRPr="009F59A6">
        <w:rPr>
          <w:rFonts w:cs="Arial"/>
        </w:rPr>
        <w:t xml:space="preserve">the </w:t>
      </w:r>
      <w:r w:rsidR="007D1E05" w:rsidRPr="009F59A6">
        <w:rPr>
          <w:rFonts w:cs="Arial"/>
        </w:rPr>
        <w:t>Schools</w:t>
      </w:r>
      <w:r w:rsidRPr="009F59A6">
        <w:rPr>
          <w:rFonts w:cs="Arial"/>
        </w:rPr>
        <w:t xml:space="preserve"> Budget for 201</w:t>
      </w:r>
      <w:r w:rsidR="00264EB9" w:rsidRPr="009F59A6">
        <w:rPr>
          <w:rFonts w:cs="Arial"/>
        </w:rPr>
        <w:t>6</w:t>
      </w:r>
      <w:r w:rsidRPr="009F59A6">
        <w:rPr>
          <w:rFonts w:cs="Arial"/>
        </w:rPr>
        <w:t>/1</w:t>
      </w:r>
      <w:r w:rsidR="00264EB9" w:rsidRPr="009F59A6">
        <w:rPr>
          <w:rFonts w:cs="Arial"/>
        </w:rPr>
        <w:t>7</w:t>
      </w:r>
      <w:r w:rsidRPr="009F59A6">
        <w:rPr>
          <w:rFonts w:cs="Arial"/>
        </w:rPr>
        <w:t xml:space="preserve"> is </w:t>
      </w:r>
      <w:r w:rsidR="00D70A14" w:rsidRPr="009F59A6">
        <w:rPr>
          <w:rFonts w:cs="Arial"/>
        </w:rPr>
        <w:t>set out in</w:t>
      </w:r>
      <w:r w:rsidRPr="009F59A6">
        <w:rPr>
          <w:rFonts w:cs="Arial"/>
        </w:rPr>
        <w:t xml:space="preserve"> the table below and amounts to a total of £</w:t>
      </w:r>
      <w:r w:rsidR="003B041F" w:rsidRPr="009F59A6">
        <w:rPr>
          <w:rFonts w:cs="Arial"/>
        </w:rPr>
        <w:t>857.813m</w:t>
      </w:r>
      <w:r w:rsidRPr="009F59A6">
        <w:rPr>
          <w:rFonts w:cs="Arial"/>
        </w:rPr>
        <w:t>.</w:t>
      </w:r>
      <w:r w:rsidR="00FF42FE" w:rsidRPr="009F59A6">
        <w:rPr>
          <w:rFonts w:cs="Arial"/>
        </w:rPr>
        <w:t xml:space="preserve">  </w:t>
      </w:r>
    </w:p>
    <w:p w14:paraId="16B27629" w14:textId="77777777" w:rsidR="00A66163" w:rsidRPr="009F59A6" w:rsidRDefault="00A66163" w:rsidP="00D924CC">
      <w:pPr>
        <w:jc w:val="both"/>
        <w:rPr>
          <w:rFonts w:cs="Arial"/>
        </w:rPr>
      </w:pPr>
    </w:p>
    <w:p w14:paraId="576BB3E6" w14:textId="77777777" w:rsidR="00A66163" w:rsidRPr="009F59A6" w:rsidRDefault="00FF42FE" w:rsidP="00D924CC">
      <w:pPr>
        <w:jc w:val="both"/>
        <w:rPr>
          <w:rFonts w:cs="Arial"/>
        </w:rPr>
      </w:pPr>
      <w:r w:rsidRPr="009F59A6">
        <w:rPr>
          <w:rFonts w:cs="Arial"/>
        </w:rPr>
        <w:t>This figure includes:</w:t>
      </w:r>
    </w:p>
    <w:p w14:paraId="59E15073" w14:textId="77777777" w:rsidR="00FF42FE" w:rsidRPr="009F59A6" w:rsidRDefault="00BF5755" w:rsidP="00D924CC">
      <w:pPr>
        <w:pStyle w:val="ListParagraph"/>
        <w:numPr>
          <w:ilvl w:val="0"/>
          <w:numId w:val="21"/>
        </w:numPr>
        <w:jc w:val="both"/>
        <w:rPr>
          <w:rFonts w:cs="Arial"/>
        </w:rPr>
      </w:pPr>
      <w:r w:rsidRPr="009F59A6">
        <w:rPr>
          <w:rFonts w:cs="Arial"/>
        </w:rPr>
        <w:t>DSG Allocation notified by the EFA</w:t>
      </w:r>
      <w:r w:rsidR="00D70A14" w:rsidRPr="009F59A6">
        <w:rPr>
          <w:rFonts w:cs="Arial"/>
        </w:rPr>
        <w:t>;</w:t>
      </w:r>
    </w:p>
    <w:p w14:paraId="33D83A13" w14:textId="77777777" w:rsidR="00FF42FE" w:rsidRPr="009F59A6" w:rsidRDefault="00670B14" w:rsidP="00D924CC">
      <w:pPr>
        <w:pStyle w:val="ListParagraph"/>
        <w:numPr>
          <w:ilvl w:val="0"/>
          <w:numId w:val="21"/>
        </w:numPr>
        <w:jc w:val="both"/>
        <w:rPr>
          <w:rFonts w:cs="Arial"/>
        </w:rPr>
      </w:pPr>
      <w:r w:rsidRPr="009F59A6">
        <w:rPr>
          <w:rFonts w:cs="Arial"/>
        </w:rPr>
        <w:t>Lancashire's estimate of participation for two year olds</w:t>
      </w:r>
      <w:r w:rsidR="00D70A14" w:rsidRPr="009F59A6">
        <w:rPr>
          <w:rFonts w:cs="Arial"/>
        </w:rPr>
        <w:t>;</w:t>
      </w:r>
    </w:p>
    <w:p w14:paraId="0938ACC5" w14:textId="77777777" w:rsidR="00860460" w:rsidRPr="009F59A6" w:rsidRDefault="00670B14" w:rsidP="00D924CC">
      <w:pPr>
        <w:pStyle w:val="ListParagraph"/>
        <w:numPr>
          <w:ilvl w:val="0"/>
          <w:numId w:val="21"/>
        </w:numPr>
        <w:jc w:val="both"/>
        <w:rPr>
          <w:rFonts w:cs="Arial"/>
        </w:rPr>
      </w:pPr>
      <w:r w:rsidRPr="009F59A6">
        <w:rPr>
          <w:rFonts w:cs="Arial"/>
        </w:rPr>
        <w:t xml:space="preserve">Lancashire's </w:t>
      </w:r>
      <w:r w:rsidR="001C6807" w:rsidRPr="009F59A6">
        <w:rPr>
          <w:rFonts w:cs="Arial"/>
        </w:rPr>
        <w:t>estimate</w:t>
      </w:r>
      <w:r w:rsidRPr="009F59A6">
        <w:rPr>
          <w:rFonts w:cs="Arial"/>
        </w:rPr>
        <w:t xml:space="preserve"> of gro</w:t>
      </w:r>
      <w:r w:rsidR="004B7BEE" w:rsidRPr="009F59A6">
        <w:rPr>
          <w:rFonts w:cs="Arial"/>
        </w:rPr>
        <w:t>w</w:t>
      </w:r>
      <w:r w:rsidRPr="009F59A6">
        <w:rPr>
          <w:rFonts w:cs="Arial"/>
        </w:rPr>
        <w:t>th in funding for three and four year olds</w:t>
      </w:r>
      <w:r w:rsidR="00D70A14" w:rsidRPr="009F59A6">
        <w:rPr>
          <w:rFonts w:cs="Arial"/>
        </w:rPr>
        <w:t>;</w:t>
      </w:r>
    </w:p>
    <w:p w14:paraId="5E48A814" w14:textId="77777777" w:rsidR="001C6807" w:rsidRPr="009F59A6" w:rsidRDefault="001C6807" w:rsidP="00D924CC">
      <w:pPr>
        <w:pStyle w:val="ListParagraph"/>
        <w:numPr>
          <w:ilvl w:val="0"/>
          <w:numId w:val="21"/>
        </w:numPr>
        <w:jc w:val="both"/>
        <w:rPr>
          <w:rFonts w:cs="Arial"/>
        </w:rPr>
      </w:pPr>
      <w:r w:rsidRPr="009F59A6">
        <w:rPr>
          <w:rFonts w:cs="Arial"/>
        </w:rPr>
        <w:t>Lancashire's estimate of the High Needs reduction;</w:t>
      </w:r>
    </w:p>
    <w:p w14:paraId="2464EF0B" w14:textId="2D401A5C" w:rsidR="00670B14" w:rsidRPr="009F59A6" w:rsidRDefault="00C16EB8" w:rsidP="00D924CC">
      <w:pPr>
        <w:pStyle w:val="ListParagraph"/>
        <w:numPr>
          <w:ilvl w:val="0"/>
          <w:numId w:val="21"/>
        </w:numPr>
        <w:jc w:val="both"/>
        <w:rPr>
          <w:rFonts w:cs="Arial"/>
        </w:rPr>
      </w:pPr>
      <w:r w:rsidRPr="009F59A6">
        <w:rPr>
          <w:rFonts w:cs="Arial"/>
        </w:rPr>
        <w:t>Allocation</w:t>
      </w:r>
      <w:r w:rsidR="00670B14" w:rsidRPr="009F59A6">
        <w:rPr>
          <w:rFonts w:cs="Arial"/>
        </w:rPr>
        <w:t xml:space="preserve"> of </w:t>
      </w:r>
      <w:r w:rsidR="004B7BEE" w:rsidRPr="009F59A6">
        <w:rPr>
          <w:rFonts w:cs="Arial"/>
        </w:rPr>
        <w:t>the £</w:t>
      </w:r>
      <w:r w:rsidR="00120462" w:rsidRPr="009F59A6">
        <w:rPr>
          <w:rFonts w:cs="Arial"/>
        </w:rPr>
        <w:t>6.164m</w:t>
      </w:r>
      <w:r w:rsidR="004B7BEE" w:rsidRPr="009F59A6">
        <w:rPr>
          <w:rFonts w:cs="Arial"/>
        </w:rPr>
        <w:t xml:space="preserve"> </w:t>
      </w:r>
      <w:r w:rsidR="00670B14" w:rsidRPr="009F59A6">
        <w:rPr>
          <w:rFonts w:cs="Arial"/>
        </w:rPr>
        <w:t>DSG reserves as a one off</w:t>
      </w:r>
      <w:r w:rsidR="00D70A14" w:rsidRPr="009F59A6">
        <w:rPr>
          <w:rFonts w:cs="Arial"/>
        </w:rPr>
        <w:t>.</w:t>
      </w:r>
    </w:p>
    <w:p w14:paraId="4F33426D" w14:textId="77777777" w:rsidR="00EC03A9" w:rsidRPr="009F59A6" w:rsidRDefault="00EC03A9" w:rsidP="00D924CC">
      <w:pPr>
        <w:pStyle w:val="Header"/>
        <w:jc w:val="both"/>
        <w:rPr>
          <w:rFonts w:cs="Arial"/>
          <w:szCs w:val="24"/>
        </w:rPr>
      </w:pPr>
    </w:p>
    <w:p w14:paraId="7C8829BC" w14:textId="77777777" w:rsidR="00EC03A9" w:rsidRPr="009F59A6" w:rsidRDefault="00670B14" w:rsidP="00D924CC">
      <w:pPr>
        <w:pStyle w:val="Header"/>
        <w:jc w:val="both"/>
        <w:rPr>
          <w:rFonts w:cs="Arial"/>
          <w:szCs w:val="24"/>
        </w:rPr>
      </w:pPr>
      <w:r w:rsidRPr="009F59A6">
        <w:rPr>
          <w:rFonts w:cs="Arial"/>
          <w:szCs w:val="24"/>
        </w:rPr>
        <w:t xml:space="preserve">The EFA have included </w:t>
      </w:r>
      <w:r w:rsidR="001C6807" w:rsidRPr="009F59A6">
        <w:rPr>
          <w:rFonts w:cs="Arial"/>
          <w:szCs w:val="24"/>
        </w:rPr>
        <w:t>E</w:t>
      </w:r>
      <w:r w:rsidRPr="009F59A6">
        <w:rPr>
          <w:rFonts w:cs="Arial"/>
          <w:szCs w:val="24"/>
        </w:rPr>
        <w:t xml:space="preserve">arly </w:t>
      </w:r>
      <w:r w:rsidR="001C6807" w:rsidRPr="009F59A6">
        <w:rPr>
          <w:rFonts w:cs="Arial"/>
          <w:szCs w:val="24"/>
        </w:rPr>
        <w:t>Y</w:t>
      </w:r>
      <w:r w:rsidRPr="009F59A6">
        <w:rPr>
          <w:rFonts w:cs="Arial"/>
          <w:szCs w:val="24"/>
        </w:rPr>
        <w:t>ears PPG wi</w:t>
      </w:r>
      <w:r w:rsidR="00D70A14" w:rsidRPr="009F59A6">
        <w:rPr>
          <w:rFonts w:cs="Arial"/>
          <w:szCs w:val="24"/>
        </w:rPr>
        <w:t xml:space="preserve">thin the </w:t>
      </w:r>
      <w:r w:rsidR="001C6807" w:rsidRPr="009F59A6">
        <w:rPr>
          <w:rFonts w:cs="Arial"/>
          <w:szCs w:val="24"/>
        </w:rPr>
        <w:t>E</w:t>
      </w:r>
      <w:r w:rsidR="00D70A14" w:rsidRPr="009F59A6">
        <w:rPr>
          <w:rFonts w:cs="Arial"/>
          <w:szCs w:val="24"/>
        </w:rPr>
        <w:t xml:space="preserve">arly </w:t>
      </w:r>
      <w:r w:rsidR="001C6807" w:rsidRPr="009F59A6">
        <w:rPr>
          <w:rFonts w:cs="Arial"/>
          <w:szCs w:val="24"/>
        </w:rPr>
        <w:t>Y</w:t>
      </w:r>
      <w:r w:rsidR="00D70A14" w:rsidRPr="009F59A6">
        <w:rPr>
          <w:rFonts w:cs="Arial"/>
          <w:szCs w:val="24"/>
        </w:rPr>
        <w:t>ears block DSG. F</w:t>
      </w:r>
      <w:r w:rsidRPr="009F59A6">
        <w:rPr>
          <w:rFonts w:cs="Arial"/>
          <w:szCs w:val="24"/>
        </w:rPr>
        <w:t>or the purpose of setting the schools budget this has been removed as it will be distributed as a separate allocation.</w:t>
      </w:r>
    </w:p>
    <w:p w14:paraId="0EB5FED8" w14:textId="77777777" w:rsidR="00EC03A9" w:rsidRPr="009F59A6" w:rsidRDefault="00EC03A9" w:rsidP="00D924CC">
      <w:pPr>
        <w:pStyle w:val="Header"/>
        <w:jc w:val="both"/>
        <w:rPr>
          <w:rFonts w:cs="Arial"/>
          <w:i/>
          <w:szCs w:val="24"/>
        </w:rPr>
      </w:pPr>
    </w:p>
    <w:p w14:paraId="76FE6D85" w14:textId="77777777" w:rsidR="00362E03" w:rsidRPr="009F59A6" w:rsidRDefault="00362E03" w:rsidP="00D924CC">
      <w:pPr>
        <w:pStyle w:val="Header"/>
        <w:jc w:val="both"/>
        <w:rPr>
          <w:rFonts w:cs="Arial"/>
          <w:b/>
          <w:szCs w:val="24"/>
          <w:u w:val="single"/>
        </w:rPr>
      </w:pPr>
      <w:r w:rsidRPr="009F59A6">
        <w:rPr>
          <w:rFonts w:cs="Arial"/>
          <w:b/>
          <w:szCs w:val="24"/>
          <w:u w:val="single"/>
        </w:rPr>
        <w:br w:type="page"/>
      </w:r>
    </w:p>
    <w:p w14:paraId="19BC8B58" w14:textId="24E51379" w:rsidR="00B14F29" w:rsidRPr="009F59A6" w:rsidRDefault="00362E03" w:rsidP="00D924CC">
      <w:pPr>
        <w:pStyle w:val="Header"/>
        <w:jc w:val="both"/>
        <w:rPr>
          <w:rFonts w:cs="Arial"/>
          <w:b/>
          <w:szCs w:val="24"/>
          <w:u w:val="single"/>
        </w:rPr>
      </w:pPr>
      <w:r w:rsidRPr="009F59A6">
        <w:rPr>
          <w:rFonts w:cs="Arial"/>
          <w:b/>
          <w:szCs w:val="24"/>
          <w:u w:val="single"/>
        </w:rPr>
        <w:lastRenderedPageBreak/>
        <w:t xml:space="preserve">Forecast DSG </w:t>
      </w:r>
      <w:r w:rsidR="00F11122" w:rsidRPr="009F59A6">
        <w:rPr>
          <w:rFonts w:cs="Arial"/>
          <w:b/>
          <w:szCs w:val="24"/>
          <w:u w:val="single"/>
        </w:rPr>
        <w:t xml:space="preserve">Income from EFA </w:t>
      </w:r>
      <w:r w:rsidRPr="009F59A6">
        <w:rPr>
          <w:rFonts w:cs="Arial"/>
          <w:b/>
          <w:szCs w:val="24"/>
          <w:u w:val="single"/>
        </w:rPr>
        <w:t>201</w:t>
      </w:r>
      <w:r w:rsidR="003B041F" w:rsidRPr="009F59A6">
        <w:rPr>
          <w:rFonts w:cs="Arial"/>
          <w:b/>
          <w:szCs w:val="24"/>
          <w:u w:val="single"/>
        </w:rPr>
        <w:t>6/17</w:t>
      </w:r>
    </w:p>
    <w:p w14:paraId="713A648A" w14:textId="0328CF9E" w:rsidR="00362E03" w:rsidRPr="009F59A6" w:rsidRDefault="00362E03" w:rsidP="00D924CC">
      <w:pPr>
        <w:pStyle w:val="Header"/>
        <w:jc w:val="both"/>
        <w:rPr>
          <w:rFonts w:cs="Arial"/>
          <w:szCs w:val="24"/>
        </w:rPr>
      </w:pPr>
    </w:p>
    <w:tbl>
      <w:tblPr>
        <w:tblStyle w:val="TableGrid"/>
        <w:tblW w:w="0" w:type="auto"/>
        <w:tblLook w:val="04A0" w:firstRow="1" w:lastRow="0" w:firstColumn="1" w:lastColumn="0" w:noHBand="0" w:noVBand="1"/>
      </w:tblPr>
      <w:tblGrid>
        <w:gridCol w:w="7969"/>
        <w:gridCol w:w="1047"/>
      </w:tblGrid>
      <w:tr w:rsidR="003B041F" w:rsidRPr="009F59A6" w14:paraId="018EBD40" w14:textId="77777777" w:rsidTr="000D0032">
        <w:trPr>
          <w:trHeight w:val="300"/>
        </w:trPr>
        <w:tc>
          <w:tcPr>
            <w:tcW w:w="7969" w:type="dxa"/>
            <w:noWrap/>
            <w:hideMark/>
          </w:tcPr>
          <w:p w14:paraId="682FFD76" w14:textId="77777777" w:rsidR="003B041F" w:rsidRPr="009F59A6" w:rsidRDefault="003B041F" w:rsidP="003B041F">
            <w:pPr>
              <w:pStyle w:val="Header"/>
              <w:jc w:val="both"/>
              <w:rPr>
                <w:rFonts w:ascii="Arial" w:hAnsi="Arial" w:cs="Arial"/>
                <w:b/>
                <w:bCs/>
                <w:sz w:val="22"/>
                <w:szCs w:val="22"/>
                <w:u w:val="single"/>
              </w:rPr>
            </w:pPr>
            <w:r w:rsidRPr="009F59A6">
              <w:rPr>
                <w:rFonts w:ascii="Arial" w:hAnsi="Arial" w:cs="Arial"/>
                <w:b/>
                <w:bCs/>
                <w:sz w:val="22"/>
                <w:szCs w:val="22"/>
                <w:u w:val="single"/>
              </w:rPr>
              <w:t>Forecast DSG Income</w:t>
            </w:r>
          </w:p>
        </w:tc>
        <w:tc>
          <w:tcPr>
            <w:tcW w:w="1047" w:type="dxa"/>
            <w:noWrap/>
            <w:hideMark/>
          </w:tcPr>
          <w:p w14:paraId="141B9779" w14:textId="77777777" w:rsidR="003B041F" w:rsidRPr="009F59A6" w:rsidRDefault="003B041F" w:rsidP="003B041F">
            <w:pPr>
              <w:pStyle w:val="Header"/>
              <w:jc w:val="both"/>
              <w:rPr>
                <w:rFonts w:ascii="Arial" w:hAnsi="Arial" w:cs="Arial"/>
                <w:sz w:val="22"/>
                <w:szCs w:val="22"/>
              </w:rPr>
            </w:pPr>
            <w:r w:rsidRPr="009F59A6">
              <w:rPr>
                <w:rFonts w:ascii="Arial" w:hAnsi="Arial" w:cs="Arial"/>
                <w:sz w:val="22"/>
                <w:szCs w:val="22"/>
              </w:rPr>
              <w:t>£m's</w:t>
            </w:r>
          </w:p>
        </w:tc>
      </w:tr>
      <w:tr w:rsidR="003B041F" w:rsidRPr="009F59A6" w14:paraId="2B4403E8" w14:textId="77777777" w:rsidTr="000D0032">
        <w:trPr>
          <w:trHeight w:val="285"/>
        </w:trPr>
        <w:tc>
          <w:tcPr>
            <w:tcW w:w="7969" w:type="dxa"/>
            <w:noWrap/>
            <w:hideMark/>
          </w:tcPr>
          <w:p w14:paraId="5BFEEDE1" w14:textId="77777777" w:rsidR="003B041F" w:rsidRPr="009F59A6" w:rsidRDefault="003B041F" w:rsidP="003B041F">
            <w:pPr>
              <w:pStyle w:val="Header"/>
              <w:jc w:val="both"/>
              <w:rPr>
                <w:rFonts w:ascii="Arial" w:hAnsi="Arial" w:cs="Arial"/>
                <w:sz w:val="22"/>
                <w:szCs w:val="22"/>
              </w:rPr>
            </w:pPr>
            <w:r w:rsidRPr="009F59A6">
              <w:rPr>
                <w:rFonts w:ascii="Arial" w:hAnsi="Arial" w:cs="Arial"/>
                <w:sz w:val="22"/>
                <w:szCs w:val="22"/>
              </w:rPr>
              <w:t>Schools Block</w:t>
            </w:r>
          </w:p>
        </w:tc>
        <w:tc>
          <w:tcPr>
            <w:tcW w:w="1047" w:type="dxa"/>
            <w:noWrap/>
            <w:hideMark/>
          </w:tcPr>
          <w:p w14:paraId="5DF8C254" w14:textId="77777777" w:rsidR="003B041F" w:rsidRPr="009F59A6" w:rsidRDefault="003B041F" w:rsidP="000D0032">
            <w:pPr>
              <w:pStyle w:val="Header"/>
              <w:jc w:val="right"/>
              <w:rPr>
                <w:rFonts w:ascii="Arial" w:hAnsi="Arial" w:cs="Arial"/>
                <w:sz w:val="22"/>
                <w:szCs w:val="22"/>
              </w:rPr>
            </w:pPr>
            <w:r w:rsidRPr="009F59A6">
              <w:rPr>
                <w:rFonts w:ascii="Arial" w:hAnsi="Arial" w:cs="Arial"/>
                <w:sz w:val="22"/>
                <w:szCs w:val="22"/>
              </w:rPr>
              <w:t xml:space="preserve">701.389 </w:t>
            </w:r>
          </w:p>
        </w:tc>
      </w:tr>
      <w:tr w:rsidR="003B041F" w:rsidRPr="009F59A6" w14:paraId="0F3FBCAD" w14:textId="77777777" w:rsidTr="000D0032">
        <w:trPr>
          <w:trHeight w:val="285"/>
        </w:trPr>
        <w:tc>
          <w:tcPr>
            <w:tcW w:w="7969" w:type="dxa"/>
            <w:noWrap/>
            <w:hideMark/>
          </w:tcPr>
          <w:p w14:paraId="6B56AAA1" w14:textId="77777777" w:rsidR="003B041F" w:rsidRPr="009F59A6" w:rsidRDefault="003B041F" w:rsidP="003B041F">
            <w:pPr>
              <w:pStyle w:val="Header"/>
              <w:jc w:val="both"/>
              <w:rPr>
                <w:rFonts w:ascii="Arial" w:hAnsi="Arial" w:cs="Arial"/>
                <w:sz w:val="22"/>
                <w:szCs w:val="22"/>
              </w:rPr>
            </w:pPr>
            <w:r w:rsidRPr="009F59A6">
              <w:rPr>
                <w:rFonts w:ascii="Arial" w:hAnsi="Arial" w:cs="Arial"/>
                <w:sz w:val="22"/>
                <w:szCs w:val="22"/>
              </w:rPr>
              <w:t>Early Years Block 3/4 year olds</w:t>
            </w:r>
          </w:p>
        </w:tc>
        <w:tc>
          <w:tcPr>
            <w:tcW w:w="1047" w:type="dxa"/>
            <w:noWrap/>
            <w:hideMark/>
          </w:tcPr>
          <w:p w14:paraId="76DCCA09" w14:textId="77777777" w:rsidR="003B041F" w:rsidRPr="009F59A6" w:rsidRDefault="003B041F" w:rsidP="000D0032">
            <w:pPr>
              <w:pStyle w:val="Header"/>
              <w:jc w:val="right"/>
              <w:rPr>
                <w:rFonts w:ascii="Arial" w:hAnsi="Arial" w:cs="Arial"/>
                <w:sz w:val="22"/>
                <w:szCs w:val="22"/>
              </w:rPr>
            </w:pPr>
            <w:r w:rsidRPr="009F59A6">
              <w:rPr>
                <w:rFonts w:ascii="Arial" w:hAnsi="Arial" w:cs="Arial"/>
                <w:sz w:val="22"/>
                <w:szCs w:val="22"/>
              </w:rPr>
              <w:t xml:space="preserve">47.395 </w:t>
            </w:r>
          </w:p>
        </w:tc>
      </w:tr>
      <w:tr w:rsidR="003B041F" w:rsidRPr="009F59A6" w14:paraId="40A8DA19" w14:textId="77777777" w:rsidTr="000D0032">
        <w:trPr>
          <w:trHeight w:val="285"/>
        </w:trPr>
        <w:tc>
          <w:tcPr>
            <w:tcW w:w="7969" w:type="dxa"/>
            <w:noWrap/>
            <w:hideMark/>
          </w:tcPr>
          <w:p w14:paraId="1B35E0A3" w14:textId="77777777" w:rsidR="003B041F" w:rsidRPr="009F59A6" w:rsidRDefault="003B041F" w:rsidP="003B041F">
            <w:pPr>
              <w:pStyle w:val="Header"/>
              <w:jc w:val="both"/>
              <w:rPr>
                <w:rFonts w:ascii="Arial" w:hAnsi="Arial" w:cs="Arial"/>
                <w:sz w:val="22"/>
                <w:szCs w:val="22"/>
              </w:rPr>
            </w:pPr>
            <w:r w:rsidRPr="009F59A6">
              <w:rPr>
                <w:rFonts w:ascii="Arial" w:hAnsi="Arial" w:cs="Arial"/>
                <w:sz w:val="22"/>
                <w:szCs w:val="22"/>
              </w:rPr>
              <w:t>Early Years Block 2 year olds</w:t>
            </w:r>
          </w:p>
        </w:tc>
        <w:tc>
          <w:tcPr>
            <w:tcW w:w="1047" w:type="dxa"/>
            <w:noWrap/>
            <w:hideMark/>
          </w:tcPr>
          <w:p w14:paraId="7CF791FF" w14:textId="77777777" w:rsidR="003B041F" w:rsidRPr="009F59A6" w:rsidRDefault="003B041F" w:rsidP="000D0032">
            <w:pPr>
              <w:pStyle w:val="Header"/>
              <w:jc w:val="right"/>
              <w:rPr>
                <w:rFonts w:ascii="Arial" w:hAnsi="Arial" w:cs="Arial"/>
                <w:sz w:val="22"/>
                <w:szCs w:val="22"/>
              </w:rPr>
            </w:pPr>
            <w:r w:rsidRPr="009F59A6">
              <w:rPr>
                <w:rFonts w:ascii="Arial" w:hAnsi="Arial" w:cs="Arial"/>
                <w:sz w:val="22"/>
                <w:szCs w:val="22"/>
              </w:rPr>
              <w:t xml:space="preserve">8.565 </w:t>
            </w:r>
          </w:p>
        </w:tc>
      </w:tr>
      <w:tr w:rsidR="003B041F" w:rsidRPr="009F59A6" w14:paraId="2B345655" w14:textId="77777777" w:rsidTr="000D0032">
        <w:trPr>
          <w:trHeight w:val="285"/>
        </w:trPr>
        <w:tc>
          <w:tcPr>
            <w:tcW w:w="7969" w:type="dxa"/>
            <w:noWrap/>
            <w:hideMark/>
          </w:tcPr>
          <w:p w14:paraId="28C3D1AB" w14:textId="77777777" w:rsidR="003B041F" w:rsidRPr="009F59A6" w:rsidRDefault="003B041F" w:rsidP="003B041F">
            <w:pPr>
              <w:pStyle w:val="Header"/>
              <w:jc w:val="both"/>
              <w:rPr>
                <w:rFonts w:ascii="Arial" w:hAnsi="Arial" w:cs="Arial"/>
                <w:sz w:val="22"/>
                <w:szCs w:val="22"/>
              </w:rPr>
            </w:pPr>
            <w:r w:rsidRPr="009F59A6">
              <w:rPr>
                <w:rFonts w:ascii="Arial" w:hAnsi="Arial" w:cs="Arial"/>
                <w:sz w:val="22"/>
                <w:szCs w:val="22"/>
              </w:rPr>
              <w:t>Early Years PPG</w:t>
            </w:r>
          </w:p>
        </w:tc>
        <w:tc>
          <w:tcPr>
            <w:tcW w:w="1047" w:type="dxa"/>
            <w:noWrap/>
            <w:hideMark/>
          </w:tcPr>
          <w:p w14:paraId="7B4F45C3" w14:textId="77777777" w:rsidR="003B041F" w:rsidRPr="009F59A6" w:rsidRDefault="003B041F" w:rsidP="000D0032">
            <w:pPr>
              <w:pStyle w:val="Header"/>
              <w:jc w:val="right"/>
              <w:rPr>
                <w:rFonts w:ascii="Arial" w:hAnsi="Arial" w:cs="Arial"/>
                <w:sz w:val="22"/>
                <w:szCs w:val="22"/>
              </w:rPr>
            </w:pPr>
            <w:r w:rsidRPr="009F59A6">
              <w:rPr>
                <w:rFonts w:ascii="Arial" w:hAnsi="Arial" w:cs="Arial"/>
                <w:sz w:val="22"/>
                <w:szCs w:val="22"/>
              </w:rPr>
              <w:t xml:space="preserve">0.959 </w:t>
            </w:r>
          </w:p>
        </w:tc>
      </w:tr>
      <w:tr w:rsidR="003B041F" w:rsidRPr="009F59A6" w14:paraId="1E4610F6" w14:textId="77777777" w:rsidTr="000D0032">
        <w:trPr>
          <w:trHeight w:val="285"/>
        </w:trPr>
        <w:tc>
          <w:tcPr>
            <w:tcW w:w="7969" w:type="dxa"/>
            <w:noWrap/>
            <w:hideMark/>
          </w:tcPr>
          <w:p w14:paraId="11E0C489" w14:textId="77777777" w:rsidR="003B041F" w:rsidRPr="009F59A6" w:rsidRDefault="003B041F" w:rsidP="003B041F">
            <w:pPr>
              <w:pStyle w:val="Header"/>
              <w:jc w:val="both"/>
              <w:rPr>
                <w:rFonts w:ascii="Arial" w:hAnsi="Arial" w:cs="Arial"/>
                <w:sz w:val="22"/>
                <w:szCs w:val="22"/>
              </w:rPr>
            </w:pPr>
            <w:r w:rsidRPr="009F59A6">
              <w:rPr>
                <w:rFonts w:ascii="Arial" w:hAnsi="Arial" w:cs="Arial"/>
                <w:sz w:val="22"/>
                <w:szCs w:val="22"/>
              </w:rPr>
              <w:t>High Needs Block</w:t>
            </w:r>
          </w:p>
        </w:tc>
        <w:tc>
          <w:tcPr>
            <w:tcW w:w="1047" w:type="dxa"/>
            <w:noWrap/>
            <w:hideMark/>
          </w:tcPr>
          <w:p w14:paraId="76E08472" w14:textId="77777777" w:rsidR="003B041F" w:rsidRPr="009F59A6" w:rsidRDefault="003B041F" w:rsidP="000D0032">
            <w:pPr>
              <w:pStyle w:val="Header"/>
              <w:jc w:val="right"/>
              <w:rPr>
                <w:rFonts w:ascii="Arial" w:hAnsi="Arial" w:cs="Arial"/>
                <w:sz w:val="22"/>
                <w:szCs w:val="22"/>
              </w:rPr>
            </w:pPr>
            <w:r w:rsidRPr="009F59A6">
              <w:rPr>
                <w:rFonts w:ascii="Arial" w:hAnsi="Arial" w:cs="Arial"/>
                <w:sz w:val="22"/>
                <w:szCs w:val="22"/>
              </w:rPr>
              <w:t xml:space="preserve">101.578 </w:t>
            </w:r>
          </w:p>
        </w:tc>
      </w:tr>
      <w:tr w:rsidR="003B041F" w:rsidRPr="009F59A6" w14:paraId="2BC5F973" w14:textId="77777777" w:rsidTr="000D0032">
        <w:trPr>
          <w:trHeight w:val="285"/>
        </w:trPr>
        <w:tc>
          <w:tcPr>
            <w:tcW w:w="7969" w:type="dxa"/>
            <w:noWrap/>
            <w:hideMark/>
          </w:tcPr>
          <w:p w14:paraId="0105777A" w14:textId="77777777" w:rsidR="003B041F" w:rsidRPr="009F59A6" w:rsidRDefault="003B041F" w:rsidP="003B041F">
            <w:pPr>
              <w:pStyle w:val="Header"/>
              <w:jc w:val="both"/>
              <w:rPr>
                <w:rFonts w:ascii="Arial" w:hAnsi="Arial" w:cs="Arial"/>
                <w:sz w:val="22"/>
                <w:szCs w:val="22"/>
              </w:rPr>
            </w:pPr>
            <w:r w:rsidRPr="009F59A6">
              <w:rPr>
                <w:rFonts w:ascii="Arial" w:hAnsi="Arial" w:cs="Arial"/>
                <w:sz w:val="22"/>
                <w:szCs w:val="22"/>
              </w:rPr>
              <w:t>High Needs Block Reduction for pre &amp; post 16 which are funded outside DSG</w:t>
            </w:r>
          </w:p>
        </w:tc>
        <w:tc>
          <w:tcPr>
            <w:tcW w:w="1047" w:type="dxa"/>
            <w:noWrap/>
            <w:hideMark/>
          </w:tcPr>
          <w:p w14:paraId="49C52915" w14:textId="77777777" w:rsidR="003B041F" w:rsidRPr="009F59A6" w:rsidRDefault="003B041F" w:rsidP="000D0032">
            <w:pPr>
              <w:pStyle w:val="Header"/>
              <w:jc w:val="right"/>
              <w:rPr>
                <w:rFonts w:ascii="Arial" w:hAnsi="Arial" w:cs="Arial"/>
                <w:sz w:val="22"/>
                <w:szCs w:val="22"/>
              </w:rPr>
            </w:pPr>
            <w:r w:rsidRPr="009F59A6">
              <w:rPr>
                <w:rFonts w:ascii="Arial" w:hAnsi="Arial" w:cs="Arial"/>
                <w:sz w:val="22"/>
                <w:szCs w:val="22"/>
              </w:rPr>
              <w:t>(4.672)</w:t>
            </w:r>
          </w:p>
        </w:tc>
      </w:tr>
      <w:tr w:rsidR="003B041F" w:rsidRPr="009F59A6" w14:paraId="3DFD73FE" w14:textId="77777777" w:rsidTr="000D0032">
        <w:trPr>
          <w:trHeight w:val="285"/>
        </w:trPr>
        <w:tc>
          <w:tcPr>
            <w:tcW w:w="7969" w:type="dxa"/>
            <w:noWrap/>
            <w:hideMark/>
          </w:tcPr>
          <w:p w14:paraId="64FF8884" w14:textId="77777777" w:rsidR="003B041F" w:rsidRPr="009F59A6" w:rsidRDefault="003B041F" w:rsidP="003B041F">
            <w:pPr>
              <w:pStyle w:val="Header"/>
              <w:jc w:val="both"/>
              <w:rPr>
                <w:rFonts w:ascii="Arial" w:hAnsi="Arial" w:cs="Arial"/>
                <w:sz w:val="22"/>
                <w:szCs w:val="22"/>
              </w:rPr>
            </w:pPr>
            <w:r w:rsidRPr="009F59A6">
              <w:rPr>
                <w:rFonts w:ascii="Arial" w:hAnsi="Arial" w:cs="Arial"/>
                <w:sz w:val="22"/>
                <w:szCs w:val="22"/>
              </w:rPr>
              <w:t xml:space="preserve">Additions for </w:t>
            </w:r>
            <w:proofErr w:type="spellStart"/>
            <w:r w:rsidRPr="009F59A6">
              <w:rPr>
                <w:rFonts w:ascii="Arial" w:hAnsi="Arial" w:cs="Arial"/>
                <w:sz w:val="22"/>
                <w:szCs w:val="22"/>
              </w:rPr>
              <w:t>non block</w:t>
            </w:r>
            <w:proofErr w:type="spellEnd"/>
            <w:r w:rsidRPr="009F59A6">
              <w:rPr>
                <w:rFonts w:ascii="Arial" w:hAnsi="Arial" w:cs="Arial"/>
                <w:sz w:val="22"/>
                <w:szCs w:val="22"/>
              </w:rPr>
              <w:t xml:space="preserve"> funding</w:t>
            </w:r>
          </w:p>
        </w:tc>
        <w:tc>
          <w:tcPr>
            <w:tcW w:w="1047" w:type="dxa"/>
            <w:noWrap/>
            <w:hideMark/>
          </w:tcPr>
          <w:p w14:paraId="3A2524B1" w14:textId="77777777" w:rsidR="003B041F" w:rsidRPr="009F59A6" w:rsidRDefault="003B041F" w:rsidP="000D0032">
            <w:pPr>
              <w:pStyle w:val="Header"/>
              <w:jc w:val="right"/>
              <w:rPr>
                <w:rFonts w:ascii="Arial" w:hAnsi="Arial" w:cs="Arial"/>
                <w:sz w:val="22"/>
                <w:szCs w:val="22"/>
              </w:rPr>
            </w:pPr>
            <w:r w:rsidRPr="009F59A6">
              <w:rPr>
                <w:rFonts w:ascii="Arial" w:hAnsi="Arial" w:cs="Arial"/>
                <w:sz w:val="22"/>
                <w:szCs w:val="22"/>
              </w:rPr>
              <w:t xml:space="preserve">0.227 </w:t>
            </w:r>
          </w:p>
        </w:tc>
      </w:tr>
      <w:tr w:rsidR="003B041F" w:rsidRPr="009F59A6" w14:paraId="387DFF53" w14:textId="77777777" w:rsidTr="000D0032">
        <w:trPr>
          <w:trHeight w:val="540"/>
        </w:trPr>
        <w:tc>
          <w:tcPr>
            <w:tcW w:w="7969" w:type="dxa"/>
            <w:noWrap/>
            <w:hideMark/>
          </w:tcPr>
          <w:p w14:paraId="3F579B02" w14:textId="77777777" w:rsidR="003B041F" w:rsidRPr="009F59A6" w:rsidRDefault="003B041F" w:rsidP="003B041F">
            <w:pPr>
              <w:pStyle w:val="Header"/>
              <w:jc w:val="both"/>
              <w:rPr>
                <w:rFonts w:ascii="Arial" w:hAnsi="Arial" w:cs="Arial"/>
                <w:sz w:val="22"/>
                <w:szCs w:val="22"/>
              </w:rPr>
            </w:pPr>
          </w:p>
          <w:p w14:paraId="1EE27D5C" w14:textId="77777777" w:rsidR="003B041F" w:rsidRPr="009F59A6" w:rsidRDefault="003B041F" w:rsidP="003B041F">
            <w:pPr>
              <w:pStyle w:val="Header"/>
              <w:jc w:val="both"/>
              <w:rPr>
                <w:rFonts w:ascii="Arial" w:hAnsi="Arial" w:cs="Arial"/>
                <w:b/>
                <w:sz w:val="22"/>
                <w:szCs w:val="22"/>
              </w:rPr>
            </w:pPr>
            <w:r w:rsidRPr="009F59A6">
              <w:rPr>
                <w:rFonts w:ascii="Arial" w:hAnsi="Arial" w:cs="Arial"/>
                <w:b/>
                <w:sz w:val="22"/>
                <w:szCs w:val="22"/>
              </w:rPr>
              <w:t xml:space="preserve">Total forecast DSG Income </w:t>
            </w:r>
          </w:p>
          <w:p w14:paraId="71EFFFE5" w14:textId="77777777" w:rsidR="003B041F" w:rsidRPr="009F59A6" w:rsidRDefault="003B041F" w:rsidP="003B041F">
            <w:pPr>
              <w:pStyle w:val="Header"/>
              <w:jc w:val="both"/>
              <w:rPr>
                <w:rFonts w:ascii="Arial" w:hAnsi="Arial" w:cs="Arial"/>
                <w:sz w:val="22"/>
                <w:szCs w:val="22"/>
              </w:rPr>
            </w:pPr>
          </w:p>
        </w:tc>
        <w:tc>
          <w:tcPr>
            <w:tcW w:w="1047" w:type="dxa"/>
            <w:noWrap/>
            <w:hideMark/>
          </w:tcPr>
          <w:p w14:paraId="1F38ED5A" w14:textId="77777777" w:rsidR="003B041F" w:rsidRPr="009F59A6" w:rsidRDefault="003B041F" w:rsidP="000D0032">
            <w:pPr>
              <w:pStyle w:val="Header"/>
              <w:jc w:val="right"/>
              <w:rPr>
                <w:rFonts w:ascii="Arial" w:hAnsi="Arial" w:cs="Arial"/>
                <w:sz w:val="22"/>
                <w:szCs w:val="22"/>
              </w:rPr>
            </w:pPr>
          </w:p>
          <w:p w14:paraId="65F66498" w14:textId="77777777" w:rsidR="003B041F" w:rsidRPr="009F59A6" w:rsidRDefault="003B041F" w:rsidP="000D0032">
            <w:pPr>
              <w:pStyle w:val="Header"/>
              <w:jc w:val="right"/>
              <w:rPr>
                <w:rFonts w:ascii="Arial" w:hAnsi="Arial" w:cs="Arial"/>
                <w:sz w:val="22"/>
                <w:szCs w:val="22"/>
              </w:rPr>
            </w:pPr>
            <w:r w:rsidRPr="009F59A6">
              <w:rPr>
                <w:rFonts w:ascii="Arial" w:hAnsi="Arial" w:cs="Arial"/>
                <w:sz w:val="22"/>
                <w:szCs w:val="22"/>
              </w:rPr>
              <w:t xml:space="preserve">855.441 </w:t>
            </w:r>
          </w:p>
        </w:tc>
      </w:tr>
      <w:tr w:rsidR="003B041F" w:rsidRPr="009F59A6" w14:paraId="4B4AA8AC" w14:textId="77777777" w:rsidTr="000D0032">
        <w:trPr>
          <w:trHeight w:val="420"/>
        </w:trPr>
        <w:tc>
          <w:tcPr>
            <w:tcW w:w="7969" w:type="dxa"/>
            <w:noWrap/>
            <w:hideMark/>
          </w:tcPr>
          <w:p w14:paraId="54B8E067" w14:textId="77777777" w:rsidR="003B041F" w:rsidRPr="009F59A6" w:rsidRDefault="003B041F" w:rsidP="003B041F">
            <w:pPr>
              <w:pStyle w:val="Header"/>
              <w:jc w:val="both"/>
              <w:rPr>
                <w:rFonts w:ascii="Arial" w:hAnsi="Arial" w:cs="Arial"/>
                <w:sz w:val="22"/>
                <w:szCs w:val="22"/>
              </w:rPr>
            </w:pPr>
            <w:r w:rsidRPr="009F59A6">
              <w:rPr>
                <w:rFonts w:ascii="Arial" w:hAnsi="Arial" w:cs="Arial"/>
                <w:sz w:val="22"/>
                <w:szCs w:val="22"/>
              </w:rPr>
              <w:t>Less Early Years PPG included in DSG but not schools budget</w:t>
            </w:r>
          </w:p>
        </w:tc>
        <w:tc>
          <w:tcPr>
            <w:tcW w:w="1047" w:type="dxa"/>
            <w:noWrap/>
            <w:hideMark/>
          </w:tcPr>
          <w:p w14:paraId="5385B3AC" w14:textId="77777777" w:rsidR="003B041F" w:rsidRPr="009F59A6" w:rsidRDefault="003B041F" w:rsidP="000D0032">
            <w:pPr>
              <w:pStyle w:val="Header"/>
              <w:jc w:val="right"/>
              <w:rPr>
                <w:rFonts w:ascii="Arial" w:hAnsi="Arial" w:cs="Arial"/>
                <w:sz w:val="22"/>
                <w:szCs w:val="22"/>
              </w:rPr>
            </w:pPr>
            <w:r w:rsidRPr="009F59A6">
              <w:rPr>
                <w:rFonts w:ascii="Arial" w:hAnsi="Arial" w:cs="Arial"/>
                <w:sz w:val="22"/>
                <w:szCs w:val="22"/>
              </w:rPr>
              <w:t>(0.959)</w:t>
            </w:r>
          </w:p>
        </w:tc>
      </w:tr>
      <w:tr w:rsidR="003B041F" w:rsidRPr="009F59A6" w14:paraId="2A21FBDF" w14:textId="77777777" w:rsidTr="000D0032">
        <w:trPr>
          <w:trHeight w:val="285"/>
        </w:trPr>
        <w:tc>
          <w:tcPr>
            <w:tcW w:w="7969" w:type="dxa"/>
            <w:noWrap/>
            <w:hideMark/>
          </w:tcPr>
          <w:p w14:paraId="0A35AA80" w14:textId="77777777" w:rsidR="003B041F" w:rsidRPr="009F59A6" w:rsidRDefault="003B041F" w:rsidP="003B041F">
            <w:pPr>
              <w:pStyle w:val="Header"/>
              <w:jc w:val="both"/>
              <w:rPr>
                <w:rFonts w:ascii="Arial" w:hAnsi="Arial" w:cs="Arial"/>
                <w:sz w:val="22"/>
                <w:szCs w:val="22"/>
              </w:rPr>
            </w:pPr>
            <w:r w:rsidRPr="009F59A6">
              <w:rPr>
                <w:rFonts w:ascii="Arial" w:hAnsi="Arial" w:cs="Arial"/>
                <w:sz w:val="22"/>
                <w:szCs w:val="22"/>
              </w:rPr>
              <w:t>Plus estimated growth in Early Years Block 3/4 year olds</w:t>
            </w:r>
          </w:p>
        </w:tc>
        <w:tc>
          <w:tcPr>
            <w:tcW w:w="1047" w:type="dxa"/>
            <w:noWrap/>
            <w:hideMark/>
          </w:tcPr>
          <w:p w14:paraId="47DAA613" w14:textId="77777777" w:rsidR="003B041F" w:rsidRPr="009F59A6" w:rsidRDefault="003B041F" w:rsidP="000D0032">
            <w:pPr>
              <w:pStyle w:val="Header"/>
              <w:jc w:val="right"/>
              <w:rPr>
                <w:rFonts w:ascii="Arial" w:hAnsi="Arial" w:cs="Arial"/>
                <w:sz w:val="22"/>
                <w:szCs w:val="22"/>
              </w:rPr>
            </w:pPr>
            <w:r w:rsidRPr="009F59A6">
              <w:rPr>
                <w:rFonts w:ascii="Arial" w:hAnsi="Arial" w:cs="Arial"/>
                <w:sz w:val="22"/>
                <w:szCs w:val="22"/>
              </w:rPr>
              <w:t xml:space="preserve">1.736 </w:t>
            </w:r>
          </w:p>
        </w:tc>
      </w:tr>
      <w:tr w:rsidR="003B041F" w:rsidRPr="009F59A6" w14:paraId="67A55221" w14:textId="77777777" w:rsidTr="000D0032">
        <w:trPr>
          <w:trHeight w:val="285"/>
        </w:trPr>
        <w:tc>
          <w:tcPr>
            <w:tcW w:w="7969" w:type="dxa"/>
            <w:noWrap/>
            <w:hideMark/>
          </w:tcPr>
          <w:p w14:paraId="74C87319" w14:textId="77777777" w:rsidR="003B041F" w:rsidRPr="009F59A6" w:rsidRDefault="003B041F" w:rsidP="003B041F">
            <w:pPr>
              <w:pStyle w:val="Header"/>
              <w:jc w:val="both"/>
              <w:rPr>
                <w:rFonts w:ascii="Arial" w:hAnsi="Arial" w:cs="Arial"/>
                <w:sz w:val="22"/>
                <w:szCs w:val="22"/>
              </w:rPr>
            </w:pPr>
            <w:r w:rsidRPr="009F59A6">
              <w:rPr>
                <w:rFonts w:ascii="Arial" w:hAnsi="Arial" w:cs="Arial"/>
                <w:sz w:val="22"/>
                <w:szCs w:val="22"/>
              </w:rPr>
              <w:t>Plus estimated growth in Early Years Block 2 year olds</w:t>
            </w:r>
          </w:p>
        </w:tc>
        <w:tc>
          <w:tcPr>
            <w:tcW w:w="1047" w:type="dxa"/>
            <w:noWrap/>
            <w:hideMark/>
          </w:tcPr>
          <w:p w14:paraId="48F48529" w14:textId="77777777" w:rsidR="003B041F" w:rsidRPr="009F59A6" w:rsidRDefault="003B041F" w:rsidP="000D0032">
            <w:pPr>
              <w:pStyle w:val="Header"/>
              <w:jc w:val="right"/>
              <w:rPr>
                <w:rFonts w:ascii="Arial" w:hAnsi="Arial" w:cs="Arial"/>
                <w:sz w:val="22"/>
                <w:szCs w:val="22"/>
              </w:rPr>
            </w:pPr>
            <w:r w:rsidRPr="009F59A6">
              <w:rPr>
                <w:rFonts w:ascii="Arial" w:hAnsi="Arial" w:cs="Arial"/>
                <w:sz w:val="22"/>
                <w:szCs w:val="22"/>
              </w:rPr>
              <w:t xml:space="preserve">1.594 </w:t>
            </w:r>
          </w:p>
        </w:tc>
      </w:tr>
      <w:tr w:rsidR="003B041F" w:rsidRPr="009F59A6" w14:paraId="3B07766B" w14:textId="77777777" w:rsidTr="000D0032">
        <w:trPr>
          <w:trHeight w:val="555"/>
        </w:trPr>
        <w:tc>
          <w:tcPr>
            <w:tcW w:w="7969" w:type="dxa"/>
            <w:noWrap/>
            <w:hideMark/>
          </w:tcPr>
          <w:p w14:paraId="4C4CACD4" w14:textId="77777777" w:rsidR="003B041F" w:rsidRPr="009F59A6" w:rsidRDefault="003B041F" w:rsidP="003B041F">
            <w:pPr>
              <w:pStyle w:val="Header"/>
              <w:jc w:val="both"/>
              <w:rPr>
                <w:rFonts w:ascii="Arial" w:hAnsi="Arial" w:cs="Arial"/>
                <w:sz w:val="22"/>
                <w:szCs w:val="22"/>
              </w:rPr>
            </w:pPr>
          </w:p>
          <w:p w14:paraId="348F2FFC" w14:textId="77777777" w:rsidR="003B041F" w:rsidRPr="009F59A6" w:rsidRDefault="003B041F" w:rsidP="003B041F">
            <w:pPr>
              <w:pStyle w:val="Header"/>
              <w:jc w:val="both"/>
              <w:rPr>
                <w:rFonts w:ascii="Arial" w:hAnsi="Arial" w:cs="Arial"/>
                <w:b/>
                <w:sz w:val="22"/>
                <w:szCs w:val="22"/>
              </w:rPr>
            </w:pPr>
            <w:r w:rsidRPr="009F59A6">
              <w:rPr>
                <w:rFonts w:ascii="Arial" w:hAnsi="Arial" w:cs="Arial"/>
                <w:b/>
                <w:sz w:val="22"/>
                <w:szCs w:val="22"/>
              </w:rPr>
              <w:t>Total forecast funding available 2016/17</w:t>
            </w:r>
          </w:p>
          <w:p w14:paraId="7430B0C2" w14:textId="77777777" w:rsidR="003B041F" w:rsidRPr="009F59A6" w:rsidRDefault="003B041F" w:rsidP="003B041F">
            <w:pPr>
              <w:pStyle w:val="Header"/>
              <w:jc w:val="both"/>
              <w:rPr>
                <w:rFonts w:ascii="Arial" w:hAnsi="Arial" w:cs="Arial"/>
                <w:sz w:val="22"/>
                <w:szCs w:val="22"/>
              </w:rPr>
            </w:pPr>
          </w:p>
        </w:tc>
        <w:tc>
          <w:tcPr>
            <w:tcW w:w="1047" w:type="dxa"/>
            <w:noWrap/>
            <w:hideMark/>
          </w:tcPr>
          <w:p w14:paraId="0AF9F6FE" w14:textId="77777777" w:rsidR="003B041F" w:rsidRPr="009F59A6" w:rsidRDefault="003B041F" w:rsidP="000D0032">
            <w:pPr>
              <w:pStyle w:val="Header"/>
              <w:jc w:val="right"/>
              <w:rPr>
                <w:rFonts w:ascii="Arial" w:hAnsi="Arial" w:cs="Arial"/>
                <w:sz w:val="22"/>
                <w:szCs w:val="22"/>
              </w:rPr>
            </w:pPr>
          </w:p>
          <w:p w14:paraId="32853322" w14:textId="77777777" w:rsidR="003B041F" w:rsidRPr="009F59A6" w:rsidRDefault="003B041F" w:rsidP="000D0032">
            <w:pPr>
              <w:pStyle w:val="Header"/>
              <w:jc w:val="right"/>
              <w:rPr>
                <w:rFonts w:ascii="Arial" w:hAnsi="Arial" w:cs="Arial"/>
                <w:sz w:val="22"/>
                <w:szCs w:val="22"/>
              </w:rPr>
            </w:pPr>
            <w:r w:rsidRPr="009F59A6">
              <w:rPr>
                <w:rFonts w:ascii="Arial" w:hAnsi="Arial" w:cs="Arial"/>
                <w:sz w:val="22"/>
                <w:szCs w:val="22"/>
              </w:rPr>
              <w:t xml:space="preserve">857.813 </w:t>
            </w:r>
          </w:p>
        </w:tc>
      </w:tr>
    </w:tbl>
    <w:p w14:paraId="095C4A0F" w14:textId="77777777" w:rsidR="00B14F29" w:rsidRPr="009F59A6" w:rsidRDefault="00B14F29" w:rsidP="00D924CC">
      <w:pPr>
        <w:pStyle w:val="Header"/>
        <w:jc w:val="both"/>
        <w:rPr>
          <w:rFonts w:cs="Arial"/>
          <w:i/>
          <w:szCs w:val="24"/>
        </w:rPr>
      </w:pPr>
    </w:p>
    <w:p w14:paraId="3491D60D" w14:textId="77777777" w:rsidR="00917287" w:rsidRPr="009F59A6" w:rsidRDefault="00917287" w:rsidP="00D924CC">
      <w:pPr>
        <w:pStyle w:val="Header"/>
        <w:jc w:val="both"/>
        <w:rPr>
          <w:rFonts w:cs="Arial"/>
          <w:b/>
          <w:szCs w:val="24"/>
          <w:u w:val="single"/>
        </w:rPr>
      </w:pPr>
      <w:r w:rsidRPr="009F59A6">
        <w:rPr>
          <w:rFonts w:cs="Arial"/>
          <w:b/>
          <w:szCs w:val="24"/>
          <w:u w:val="single"/>
        </w:rPr>
        <w:t>DSG allocations</w:t>
      </w:r>
    </w:p>
    <w:p w14:paraId="59CD77D4" w14:textId="77777777" w:rsidR="00917287" w:rsidRPr="009F59A6" w:rsidRDefault="00917287" w:rsidP="00D924CC">
      <w:pPr>
        <w:pStyle w:val="Header"/>
        <w:jc w:val="both"/>
        <w:rPr>
          <w:rFonts w:cs="Arial"/>
          <w:i/>
          <w:szCs w:val="24"/>
        </w:rPr>
      </w:pPr>
    </w:p>
    <w:p w14:paraId="3A7AE851" w14:textId="77777777" w:rsidR="00EC03A9" w:rsidRPr="009F59A6" w:rsidRDefault="00EC03A9" w:rsidP="00D924CC">
      <w:pPr>
        <w:pStyle w:val="Header"/>
        <w:jc w:val="both"/>
        <w:rPr>
          <w:rFonts w:cs="Arial"/>
          <w:szCs w:val="24"/>
          <w:u w:val="single"/>
        </w:rPr>
      </w:pPr>
      <w:r w:rsidRPr="009F59A6">
        <w:rPr>
          <w:rFonts w:cs="Arial"/>
          <w:szCs w:val="24"/>
          <w:u w:val="single"/>
        </w:rPr>
        <w:t>Schools Block £</w:t>
      </w:r>
      <w:r w:rsidR="00F60F85" w:rsidRPr="009F59A6">
        <w:rPr>
          <w:rFonts w:cs="Arial"/>
          <w:szCs w:val="24"/>
          <w:u w:val="single"/>
        </w:rPr>
        <w:t>701.097m</w:t>
      </w:r>
    </w:p>
    <w:p w14:paraId="182F3F46" w14:textId="636FA245" w:rsidR="00670B14" w:rsidRPr="009F59A6" w:rsidRDefault="00670B14" w:rsidP="00D924CC">
      <w:pPr>
        <w:pStyle w:val="Header"/>
        <w:jc w:val="both"/>
        <w:rPr>
          <w:rFonts w:cs="Arial"/>
          <w:szCs w:val="24"/>
        </w:rPr>
      </w:pPr>
      <w:r w:rsidRPr="009F59A6">
        <w:rPr>
          <w:rFonts w:cs="Arial"/>
          <w:szCs w:val="24"/>
        </w:rPr>
        <w:t xml:space="preserve">The authority’s SBUF for the </w:t>
      </w:r>
      <w:r w:rsidR="00EA11F4" w:rsidRPr="009F59A6">
        <w:rPr>
          <w:rFonts w:cs="Arial"/>
          <w:szCs w:val="24"/>
        </w:rPr>
        <w:t>S</w:t>
      </w:r>
      <w:r w:rsidRPr="009F59A6">
        <w:rPr>
          <w:rFonts w:cs="Arial"/>
          <w:szCs w:val="24"/>
        </w:rPr>
        <w:t xml:space="preserve">chools </w:t>
      </w:r>
      <w:r w:rsidR="00EA11F4" w:rsidRPr="009F59A6">
        <w:rPr>
          <w:rFonts w:cs="Arial"/>
          <w:szCs w:val="24"/>
        </w:rPr>
        <w:t>B</w:t>
      </w:r>
      <w:r w:rsidRPr="009F59A6">
        <w:rPr>
          <w:rFonts w:cs="Arial"/>
          <w:szCs w:val="24"/>
        </w:rPr>
        <w:t xml:space="preserve">lock is the amount announced in </w:t>
      </w:r>
      <w:r w:rsidR="00F60F85" w:rsidRPr="009F59A6">
        <w:rPr>
          <w:rFonts w:cs="Arial"/>
          <w:szCs w:val="24"/>
        </w:rPr>
        <w:t>September 2015</w:t>
      </w:r>
      <w:r w:rsidRPr="009F59A6">
        <w:rPr>
          <w:rFonts w:cs="Arial"/>
          <w:szCs w:val="24"/>
        </w:rPr>
        <w:t xml:space="preserve"> </w:t>
      </w:r>
      <w:r w:rsidR="00BD2C2E" w:rsidRPr="009F59A6">
        <w:rPr>
          <w:rFonts w:cs="Arial"/>
          <w:szCs w:val="24"/>
        </w:rPr>
        <w:t xml:space="preserve">of </w:t>
      </w:r>
      <w:r w:rsidR="00F60F85" w:rsidRPr="009F59A6">
        <w:rPr>
          <w:rFonts w:cs="Arial"/>
          <w:szCs w:val="24"/>
        </w:rPr>
        <w:t>£4,</w:t>
      </w:r>
      <w:r w:rsidR="00DB5CB5" w:rsidRPr="009F59A6">
        <w:rPr>
          <w:rFonts w:cs="Arial"/>
          <w:szCs w:val="24"/>
        </w:rPr>
        <w:t>4</w:t>
      </w:r>
      <w:r w:rsidR="00F60F85" w:rsidRPr="009F59A6">
        <w:rPr>
          <w:rFonts w:cs="Arial"/>
          <w:szCs w:val="24"/>
        </w:rPr>
        <w:t>81.89</w:t>
      </w:r>
      <w:r w:rsidR="00EA11F4" w:rsidRPr="009F59A6">
        <w:rPr>
          <w:rFonts w:cs="Arial"/>
          <w:szCs w:val="24"/>
        </w:rPr>
        <w:t xml:space="preserve"> per pupil</w:t>
      </w:r>
      <w:r w:rsidR="00BD2C2E" w:rsidRPr="009F59A6">
        <w:rPr>
          <w:rFonts w:cs="Arial"/>
          <w:szCs w:val="24"/>
        </w:rPr>
        <w:t>.  T</w:t>
      </w:r>
      <w:r w:rsidR="00917287" w:rsidRPr="009F59A6">
        <w:rPr>
          <w:rFonts w:cs="Arial"/>
          <w:szCs w:val="24"/>
        </w:rPr>
        <w:t xml:space="preserve">his has been </w:t>
      </w:r>
      <w:r w:rsidR="00F60F85" w:rsidRPr="009F59A6">
        <w:rPr>
          <w:rFonts w:cs="Arial"/>
          <w:szCs w:val="24"/>
        </w:rPr>
        <w:t>increased</w:t>
      </w:r>
      <w:r w:rsidR="00917287" w:rsidRPr="009F59A6">
        <w:rPr>
          <w:rFonts w:cs="Arial"/>
          <w:szCs w:val="24"/>
        </w:rPr>
        <w:t xml:space="preserve"> by £</w:t>
      </w:r>
      <w:r w:rsidR="00F60F85" w:rsidRPr="009F59A6">
        <w:rPr>
          <w:rFonts w:cs="Arial"/>
          <w:szCs w:val="24"/>
        </w:rPr>
        <w:t>3.35 compared to 2015/16</w:t>
      </w:r>
      <w:r w:rsidR="00917287" w:rsidRPr="009F59A6">
        <w:rPr>
          <w:rFonts w:cs="Arial"/>
          <w:szCs w:val="24"/>
        </w:rPr>
        <w:t xml:space="preserve"> following the</w:t>
      </w:r>
      <w:r w:rsidR="000654B1" w:rsidRPr="009F59A6">
        <w:rPr>
          <w:rFonts w:cs="Arial"/>
          <w:szCs w:val="24"/>
        </w:rPr>
        <w:t xml:space="preserve"> incorporation of funding for former </w:t>
      </w:r>
      <w:r w:rsidR="00F60F85" w:rsidRPr="009F59A6">
        <w:rPr>
          <w:rFonts w:cs="Arial"/>
          <w:szCs w:val="24"/>
        </w:rPr>
        <w:t>NRA academies within the allocation</w:t>
      </w:r>
      <w:r w:rsidR="00917287" w:rsidRPr="009F59A6">
        <w:rPr>
          <w:rFonts w:cs="Arial"/>
          <w:szCs w:val="24"/>
        </w:rPr>
        <w:t>.</w:t>
      </w:r>
    </w:p>
    <w:p w14:paraId="679B1DB8" w14:textId="77777777" w:rsidR="000654B1" w:rsidRPr="009F59A6" w:rsidRDefault="000654B1" w:rsidP="00D924CC">
      <w:pPr>
        <w:pStyle w:val="Header"/>
        <w:jc w:val="both"/>
        <w:rPr>
          <w:rFonts w:cs="Arial"/>
          <w:szCs w:val="24"/>
        </w:rPr>
      </w:pPr>
    </w:p>
    <w:p w14:paraId="44D00C03" w14:textId="66A8A3D4" w:rsidR="00EC03A9" w:rsidRPr="009F59A6" w:rsidRDefault="00917287" w:rsidP="00D924CC">
      <w:pPr>
        <w:pStyle w:val="Header"/>
        <w:jc w:val="both"/>
        <w:rPr>
          <w:rFonts w:cs="Arial"/>
          <w:szCs w:val="24"/>
        </w:rPr>
      </w:pPr>
      <w:r w:rsidRPr="009F59A6">
        <w:rPr>
          <w:rFonts w:cs="Arial"/>
          <w:szCs w:val="24"/>
        </w:rPr>
        <w:t>This amount has been multiplied by the pupil numbers from the O</w:t>
      </w:r>
      <w:r w:rsidR="00F60F85" w:rsidRPr="009F59A6">
        <w:rPr>
          <w:rFonts w:cs="Arial"/>
          <w:szCs w:val="24"/>
        </w:rPr>
        <w:t>ctober 2015</w:t>
      </w:r>
      <w:r w:rsidRPr="009F59A6">
        <w:rPr>
          <w:rFonts w:cs="Arial"/>
          <w:szCs w:val="24"/>
        </w:rPr>
        <w:t xml:space="preserve"> sc</w:t>
      </w:r>
      <w:r w:rsidR="00F60F85" w:rsidRPr="009F59A6">
        <w:rPr>
          <w:rFonts w:cs="Arial"/>
          <w:szCs w:val="24"/>
        </w:rPr>
        <w:t>hool census and the January 2015</w:t>
      </w:r>
      <w:r w:rsidRPr="009F59A6">
        <w:rPr>
          <w:rFonts w:cs="Arial"/>
          <w:szCs w:val="24"/>
        </w:rPr>
        <w:t xml:space="preserve"> alternative provision census plus the reception uplift, minus high needs places as set out in the </w:t>
      </w:r>
      <w:r w:rsidR="008E6661" w:rsidRPr="009F59A6">
        <w:rPr>
          <w:rFonts w:cs="Arial"/>
          <w:szCs w:val="24"/>
        </w:rPr>
        <w:t>E</w:t>
      </w:r>
      <w:r w:rsidR="000B5CA0" w:rsidRPr="009F59A6">
        <w:rPr>
          <w:rFonts w:cs="Arial"/>
          <w:szCs w:val="24"/>
        </w:rPr>
        <w:t xml:space="preserve">FA </w:t>
      </w:r>
      <w:r w:rsidRPr="009F59A6">
        <w:rPr>
          <w:rFonts w:cs="Arial"/>
          <w:szCs w:val="24"/>
        </w:rPr>
        <w:t>pupil number tool</w:t>
      </w:r>
      <w:r w:rsidR="000B5CA0" w:rsidRPr="009F59A6">
        <w:rPr>
          <w:rFonts w:cs="Arial"/>
          <w:szCs w:val="24"/>
        </w:rPr>
        <w:t xml:space="preserve"> notification</w:t>
      </w:r>
      <w:r w:rsidRPr="009F59A6">
        <w:rPr>
          <w:rFonts w:cs="Arial"/>
          <w:szCs w:val="24"/>
        </w:rPr>
        <w:t>.</w:t>
      </w:r>
    </w:p>
    <w:p w14:paraId="7C69A5B4" w14:textId="77777777" w:rsidR="00BD2C2E" w:rsidRPr="009F59A6" w:rsidRDefault="00BD2C2E" w:rsidP="00D924CC">
      <w:pPr>
        <w:pStyle w:val="Header"/>
        <w:ind w:left="360"/>
        <w:jc w:val="both"/>
        <w:rPr>
          <w:rFonts w:cs="Arial"/>
          <w:szCs w:val="24"/>
        </w:rPr>
      </w:pPr>
    </w:p>
    <w:p w14:paraId="7C06E9B1" w14:textId="1B9CB01F" w:rsidR="004B7BEE" w:rsidRPr="009F59A6" w:rsidRDefault="00EC03A9" w:rsidP="00D924CC">
      <w:pPr>
        <w:pStyle w:val="Header"/>
        <w:jc w:val="both"/>
        <w:rPr>
          <w:rFonts w:cs="Arial"/>
          <w:szCs w:val="24"/>
          <w:u w:val="single"/>
        </w:rPr>
      </w:pPr>
      <w:r w:rsidRPr="009F59A6">
        <w:rPr>
          <w:rFonts w:cs="Arial"/>
          <w:szCs w:val="24"/>
          <w:u w:val="single"/>
        </w:rPr>
        <w:t>Early Years Block £</w:t>
      </w:r>
      <w:r w:rsidR="00917287" w:rsidRPr="009F59A6">
        <w:rPr>
          <w:rFonts w:cs="Arial"/>
          <w:szCs w:val="24"/>
          <w:u w:val="single"/>
        </w:rPr>
        <w:t>47.</w:t>
      </w:r>
      <w:r w:rsidR="003B041F" w:rsidRPr="009F59A6">
        <w:rPr>
          <w:rFonts w:cs="Arial"/>
          <w:szCs w:val="24"/>
          <w:u w:val="single"/>
        </w:rPr>
        <w:t>395m</w:t>
      </w:r>
    </w:p>
    <w:p w14:paraId="30401C85" w14:textId="77777777" w:rsidR="004B7BEE" w:rsidRPr="009F59A6" w:rsidRDefault="00917287" w:rsidP="00D924CC">
      <w:pPr>
        <w:pStyle w:val="Header"/>
        <w:jc w:val="both"/>
        <w:rPr>
          <w:rFonts w:cs="Arial"/>
          <w:szCs w:val="24"/>
        </w:rPr>
      </w:pPr>
      <w:r w:rsidRPr="009F59A6">
        <w:rPr>
          <w:rFonts w:cs="Arial"/>
          <w:szCs w:val="24"/>
        </w:rPr>
        <w:t xml:space="preserve">The </w:t>
      </w:r>
      <w:r w:rsidR="00EA11F4" w:rsidRPr="009F59A6">
        <w:rPr>
          <w:rFonts w:cs="Arial"/>
          <w:szCs w:val="24"/>
        </w:rPr>
        <w:t>E</w:t>
      </w:r>
      <w:r w:rsidRPr="009F59A6">
        <w:rPr>
          <w:rFonts w:cs="Arial"/>
          <w:szCs w:val="24"/>
        </w:rPr>
        <w:t xml:space="preserve">arly </w:t>
      </w:r>
      <w:r w:rsidR="00EA11F4" w:rsidRPr="009F59A6">
        <w:rPr>
          <w:rFonts w:cs="Arial"/>
          <w:szCs w:val="24"/>
        </w:rPr>
        <w:t>Y</w:t>
      </w:r>
      <w:r w:rsidRPr="009F59A6">
        <w:rPr>
          <w:rFonts w:cs="Arial"/>
          <w:szCs w:val="24"/>
        </w:rPr>
        <w:t xml:space="preserve">ears block comprises: </w:t>
      </w:r>
    </w:p>
    <w:p w14:paraId="2692DF7A" w14:textId="77777777" w:rsidR="004B7BEE" w:rsidRPr="009F59A6" w:rsidRDefault="00917287" w:rsidP="00D924CC">
      <w:pPr>
        <w:pStyle w:val="Default0"/>
        <w:numPr>
          <w:ilvl w:val="0"/>
          <w:numId w:val="21"/>
        </w:numPr>
        <w:jc w:val="both"/>
      </w:pPr>
      <w:r w:rsidRPr="009F59A6">
        <w:t xml:space="preserve">Funding for the three and four year old entitlement to 15 hours free education; </w:t>
      </w:r>
    </w:p>
    <w:p w14:paraId="6B9417E5" w14:textId="77777777" w:rsidR="004B7BEE" w:rsidRPr="009F59A6" w:rsidRDefault="00917287" w:rsidP="00D924CC">
      <w:pPr>
        <w:pStyle w:val="Default0"/>
        <w:numPr>
          <w:ilvl w:val="0"/>
          <w:numId w:val="21"/>
        </w:numPr>
        <w:jc w:val="both"/>
      </w:pPr>
      <w:r w:rsidRPr="009F59A6">
        <w:t xml:space="preserve">The early years pupil premium; and </w:t>
      </w:r>
    </w:p>
    <w:p w14:paraId="2B659E75" w14:textId="77777777" w:rsidR="004B7BEE" w:rsidRPr="009F59A6" w:rsidRDefault="00120462" w:rsidP="00D924CC">
      <w:pPr>
        <w:pStyle w:val="Default0"/>
        <w:numPr>
          <w:ilvl w:val="0"/>
          <w:numId w:val="21"/>
        </w:numPr>
        <w:jc w:val="both"/>
      </w:pPr>
      <w:r w:rsidRPr="009F59A6">
        <w:t>F</w:t>
      </w:r>
      <w:r w:rsidR="00917287" w:rsidRPr="009F59A6">
        <w:t xml:space="preserve">unding for disadvantaged two year olds </w:t>
      </w:r>
      <w:r w:rsidRPr="009F59A6">
        <w:t>entitlement to 15 hours free education</w:t>
      </w:r>
      <w:r w:rsidR="00917287" w:rsidRPr="009F59A6">
        <w:t xml:space="preserve">. </w:t>
      </w:r>
    </w:p>
    <w:p w14:paraId="747CC87D" w14:textId="77777777" w:rsidR="000B5CA0" w:rsidRPr="009F59A6" w:rsidRDefault="000B5CA0" w:rsidP="00D924CC">
      <w:pPr>
        <w:pStyle w:val="Default0"/>
        <w:ind w:left="720"/>
        <w:jc w:val="both"/>
      </w:pPr>
    </w:p>
    <w:p w14:paraId="72246961" w14:textId="77777777" w:rsidR="00917287" w:rsidRPr="009F59A6" w:rsidRDefault="00D03FA2" w:rsidP="00D924CC">
      <w:pPr>
        <w:pStyle w:val="Default0"/>
        <w:jc w:val="both"/>
        <w:rPr>
          <w:bCs/>
          <w:u w:val="single"/>
        </w:rPr>
      </w:pPr>
      <w:r w:rsidRPr="009F59A6">
        <w:rPr>
          <w:bCs/>
          <w:u w:val="single"/>
        </w:rPr>
        <w:t xml:space="preserve">Early </w:t>
      </w:r>
      <w:r w:rsidR="00EA11F4" w:rsidRPr="009F59A6">
        <w:rPr>
          <w:bCs/>
          <w:u w:val="single"/>
        </w:rPr>
        <w:t>Y</w:t>
      </w:r>
      <w:r w:rsidRPr="009F59A6">
        <w:rPr>
          <w:bCs/>
          <w:u w:val="single"/>
        </w:rPr>
        <w:t>ears entitlement for three and four year olds</w:t>
      </w:r>
    </w:p>
    <w:p w14:paraId="79EBA5BF" w14:textId="77777777" w:rsidR="00917287" w:rsidRPr="009F59A6" w:rsidRDefault="00917287" w:rsidP="00D924CC">
      <w:pPr>
        <w:pStyle w:val="Default0"/>
        <w:jc w:val="both"/>
      </w:pPr>
      <w:r w:rsidRPr="009F59A6">
        <w:t xml:space="preserve">The amount per pupil for the </w:t>
      </w:r>
      <w:r w:rsidR="00EA11F4" w:rsidRPr="009F59A6">
        <w:t>E</w:t>
      </w:r>
      <w:r w:rsidRPr="009F59A6">
        <w:t xml:space="preserve">arly </w:t>
      </w:r>
      <w:r w:rsidR="00EA11F4" w:rsidRPr="009F59A6">
        <w:t>Y</w:t>
      </w:r>
      <w:r w:rsidRPr="009F59A6">
        <w:t>ears free entitle</w:t>
      </w:r>
      <w:r w:rsidR="000B5CA0" w:rsidRPr="009F59A6">
        <w:t>ment is the same as for 201</w:t>
      </w:r>
      <w:r w:rsidR="00120462" w:rsidRPr="009F59A6">
        <w:t>5</w:t>
      </w:r>
      <w:r w:rsidR="000B5CA0" w:rsidRPr="009F59A6">
        <w:t>/</w:t>
      </w:r>
      <w:r w:rsidRPr="009F59A6">
        <w:t>1</w:t>
      </w:r>
      <w:r w:rsidR="00120462" w:rsidRPr="009F59A6">
        <w:t>6</w:t>
      </w:r>
      <w:r w:rsidRPr="009F59A6">
        <w:t>. Initially, this has been multiplied by pupil numbers from the January 201</w:t>
      </w:r>
      <w:r w:rsidR="00120462" w:rsidRPr="009F59A6">
        <w:t>5</w:t>
      </w:r>
      <w:r w:rsidRPr="009F59A6">
        <w:t xml:space="preserve"> early years census and school census to produce a provisional allocation. This will be updated in:</w:t>
      </w:r>
    </w:p>
    <w:p w14:paraId="604285CC" w14:textId="77777777" w:rsidR="004B7BEE" w:rsidRPr="009F59A6" w:rsidRDefault="00917287" w:rsidP="00D924CC">
      <w:pPr>
        <w:pStyle w:val="Default0"/>
        <w:numPr>
          <w:ilvl w:val="0"/>
          <w:numId w:val="21"/>
        </w:numPr>
        <w:jc w:val="both"/>
      </w:pPr>
      <w:r w:rsidRPr="009F59A6">
        <w:t>July 201</w:t>
      </w:r>
      <w:r w:rsidR="00120462" w:rsidRPr="009F59A6">
        <w:t>6</w:t>
      </w:r>
      <w:r w:rsidRPr="009F59A6">
        <w:t xml:space="preserve"> based on January 201</w:t>
      </w:r>
      <w:r w:rsidR="00120462" w:rsidRPr="009F59A6">
        <w:t>6</w:t>
      </w:r>
      <w:r w:rsidRPr="009F59A6">
        <w:t xml:space="preserve"> pupil numbers; and</w:t>
      </w:r>
    </w:p>
    <w:p w14:paraId="7313D539" w14:textId="77777777" w:rsidR="004B7BEE" w:rsidRPr="009F59A6" w:rsidRDefault="00917287" w:rsidP="00D924CC">
      <w:pPr>
        <w:pStyle w:val="Default0"/>
        <w:numPr>
          <w:ilvl w:val="0"/>
          <w:numId w:val="21"/>
        </w:numPr>
        <w:jc w:val="both"/>
      </w:pPr>
      <w:r w:rsidRPr="009F59A6">
        <w:t>July 201</w:t>
      </w:r>
      <w:r w:rsidR="00120462" w:rsidRPr="009F59A6">
        <w:t>7</w:t>
      </w:r>
      <w:r w:rsidRPr="009F59A6">
        <w:t xml:space="preserve"> based on 5/12ths of the January 201</w:t>
      </w:r>
      <w:r w:rsidR="00120462" w:rsidRPr="009F59A6">
        <w:t>6</w:t>
      </w:r>
      <w:r w:rsidRPr="009F59A6">
        <w:t xml:space="preserve"> pupil numbers (to cover the April </w:t>
      </w:r>
      <w:r w:rsidR="00EA421D" w:rsidRPr="009F59A6">
        <w:t xml:space="preserve">2016 </w:t>
      </w:r>
      <w:r w:rsidRPr="009F59A6">
        <w:t xml:space="preserve">to August </w:t>
      </w:r>
      <w:r w:rsidR="00EA421D" w:rsidRPr="009F59A6">
        <w:t xml:space="preserve">2016 </w:t>
      </w:r>
      <w:r w:rsidRPr="009F59A6">
        <w:t>period) and 7/12ths of the January 201</w:t>
      </w:r>
      <w:r w:rsidR="00120462" w:rsidRPr="009F59A6">
        <w:t>7</w:t>
      </w:r>
      <w:r w:rsidRPr="009F59A6">
        <w:t xml:space="preserve"> pupil numbers (to cover the September 201</w:t>
      </w:r>
      <w:r w:rsidR="00120462" w:rsidRPr="009F59A6">
        <w:t>6</w:t>
      </w:r>
      <w:r w:rsidRPr="009F59A6">
        <w:t xml:space="preserve"> to March 201</w:t>
      </w:r>
      <w:r w:rsidR="00120462" w:rsidRPr="009F59A6">
        <w:t>7</w:t>
      </w:r>
      <w:r w:rsidRPr="009F59A6">
        <w:t xml:space="preserve"> period).</w:t>
      </w:r>
    </w:p>
    <w:p w14:paraId="5AE7DE0C" w14:textId="77777777" w:rsidR="004B7BEE" w:rsidRPr="009F59A6" w:rsidRDefault="004B7BEE" w:rsidP="000D0032">
      <w:pPr>
        <w:pStyle w:val="Default0"/>
        <w:jc w:val="both"/>
      </w:pPr>
    </w:p>
    <w:p w14:paraId="0C3E5365" w14:textId="6EA1EE0E" w:rsidR="004B7BEE" w:rsidRPr="009F59A6" w:rsidRDefault="00917287" w:rsidP="00D924CC">
      <w:pPr>
        <w:pStyle w:val="Default0"/>
        <w:jc w:val="both"/>
      </w:pPr>
      <w:r w:rsidRPr="009F59A6">
        <w:t>This means that the final allocation for thr</w:t>
      </w:r>
      <w:r w:rsidR="000B5CA0" w:rsidRPr="009F59A6">
        <w:t>ee and four year olds for 201</w:t>
      </w:r>
      <w:r w:rsidR="00120462" w:rsidRPr="009F59A6">
        <w:t>6</w:t>
      </w:r>
      <w:r w:rsidR="000B5CA0" w:rsidRPr="009F59A6">
        <w:t>/1</w:t>
      </w:r>
      <w:r w:rsidR="00120462" w:rsidRPr="009F59A6">
        <w:t>7</w:t>
      </w:r>
      <w:r w:rsidR="000B5CA0" w:rsidRPr="009F59A6">
        <w:t xml:space="preserve"> </w:t>
      </w:r>
      <w:r w:rsidRPr="009F59A6">
        <w:t>will be based on 5/12 x January 201</w:t>
      </w:r>
      <w:r w:rsidR="00120462" w:rsidRPr="009F59A6">
        <w:t>6</w:t>
      </w:r>
      <w:r w:rsidRPr="009F59A6">
        <w:t xml:space="preserve"> pupil numbers plus 7/12 x January 201</w:t>
      </w:r>
      <w:r w:rsidR="00120462" w:rsidRPr="009F59A6">
        <w:t>7</w:t>
      </w:r>
      <w:r w:rsidRPr="009F59A6">
        <w:t xml:space="preserve"> pupil numbers.</w:t>
      </w:r>
    </w:p>
    <w:p w14:paraId="4E1205C9" w14:textId="77777777" w:rsidR="004B7BEE" w:rsidRPr="009F59A6" w:rsidRDefault="004B7BEE" w:rsidP="00D924CC">
      <w:pPr>
        <w:pStyle w:val="Default0"/>
        <w:jc w:val="both"/>
      </w:pPr>
    </w:p>
    <w:p w14:paraId="2474BD6C" w14:textId="651D5EC4" w:rsidR="004B7BEE" w:rsidRPr="009F59A6" w:rsidRDefault="00833C0F" w:rsidP="00D924CC">
      <w:pPr>
        <w:pStyle w:val="Default0"/>
        <w:jc w:val="both"/>
      </w:pPr>
      <w:r w:rsidRPr="009F59A6">
        <w:lastRenderedPageBreak/>
        <w:t xml:space="preserve">Officers have estimated growth of </w:t>
      </w:r>
      <w:r w:rsidR="00120462" w:rsidRPr="009F59A6">
        <w:t>2</w:t>
      </w:r>
      <w:r w:rsidR="00120462" w:rsidRPr="009F59A6" w:rsidDel="00120462">
        <w:t xml:space="preserve"> </w:t>
      </w:r>
      <w:r w:rsidRPr="009F59A6">
        <w:t>% for three</w:t>
      </w:r>
      <w:r w:rsidR="000B5CA0" w:rsidRPr="009F59A6">
        <w:t xml:space="preserve"> and four year olds to reflect </w:t>
      </w:r>
      <w:r w:rsidRPr="009F59A6">
        <w:t>increase in demand, this equates to a potential further £</w:t>
      </w:r>
      <w:r w:rsidR="003B041F" w:rsidRPr="009F59A6">
        <w:t>1.736m</w:t>
      </w:r>
      <w:r w:rsidRPr="009F59A6">
        <w:t xml:space="preserve"> of DSG</w:t>
      </w:r>
      <w:r w:rsidR="00EA11F4" w:rsidRPr="009F59A6">
        <w:t>.</w:t>
      </w:r>
    </w:p>
    <w:p w14:paraId="2D93A410" w14:textId="77777777" w:rsidR="004B7BEE" w:rsidRPr="009F59A6" w:rsidRDefault="004B7BEE" w:rsidP="00D924CC">
      <w:pPr>
        <w:pStyle w:val="Default0"/>
        <w:jc w:val="both"/>
      </w:pPr>
    </w:p>
    <w:p w14:paraId="1409CCC3" w14:textId="77777777" w:rsidR="004B7BEE" w:rsidRPr="009F59A6" w:rsidRDefault="00833C0F" w:rsidP="00D924CC">
      <w:pPr>
        <w:pStyle w:val="Default0"/>
        <w:jc w:val="both"/>
        <w:rPr>
          <w:u w:val="single"/>
        </w:rPr>
      </w:pPr>
      <w:r w:rsidRPr="009F59A6">
        <w:rPr>
          <w:u w:val="single"/>
        </w:rPr>
        <w:t xml:space="preserve">Early </w:t>
      </w:r>
      <w:r w:rsidR="00EA11F4" w:rsidRPr="009F59A6">
        <w:rPr>
          <w:u w:val="single"/>
        </w:rPr>
        <w:t>Y</w:t>
      </w:r>
      <w:r w:rsidRPr="009F59A6">
        <w:rPr>
          <w:u w:val="single"/>
        </w:rPr>
        <w:t>ears pupil premium</w:t>
      </w:r>
    </w:p>
    <w:p w14:paraId="57010B3D" w14:textId="77777777" w:rsidR="004B7BEE" w:rsidRPr="009F59A6" w:rsidRDefault="00833C0F" w:rsidP="00D924CC">
      <w:pPr>
        <w:pStyle w:val="Default0"/>
        <w:jc w:val="both"/>
      </w:pPr>
      <w:r w:rsidRPr="009F59A6">
        <w:t xml:space="preserve">Provisional allocations for the </w:t>
      </w:r>
      <w:r w:rsidR="00EA11F4" w:rsidRPr="009F59A6">
        <w:t>E</w:t>
      </w:r>
      <w:r w:rsidRPr="009F59A6">
        <w:t xml:space="preserve">arly </w:t>
      </w:r>
      <w:r w:rsidR="00EA11F4" w:rsidRPr="009F59A6">
        <w:t>Y</w:t>
      </w:r>
      <w:r w:rsidRPr="009F59A6">
        <w:t>ears pupil premium (EYPP) are being dealt with under a separate allocation process to the schools budget and therefore the value of grant has been deducted from the DSG for the purpose of calculating funding available for the schools budget.</w:t>
      </w:r>
    </w:p>
    <w:p w14:paraId="5E18F80D" w14:textId="77777777" w:rsidR="004B7BEE" w:rsidRPr="009F59A6" w:rsidRDefault="004B7BEE" w:rsidP="00D924CC">
      <w:pPr>
        <w:pStyle w:val="Default0"/>
        <w:jc w:val="both"/>
      </w:pPr>
    </w:p>
    <w:p w14:paraId="7EF10334" w14:textId="32C96650" w:rsidR="004B7BEE" w:rsidRPr="009F59A6" w:rsidRDefault="00CC7373" w:rsidP="00D924CC">
      <w:pPr>
        <w:pStyle w:val="Default0"/>
        <w:jc w:val="both"/>
        <w:rPr>
          <w:u w:val="single"/>
        </w:rPr>
      </w:pPr>
      <w:r w:rsidRPr="009F59A6">
        <w:rPr>
          <w:u w:val="single"/>
        </w:rPr>
        <w:t>Early Years entitlement for</w:t>
      </w:r>
      <w:r w:rsidR="00833C0F" w:rsidRPr="009F59A6">
        <w:rPr>
          <w:u w:val="single"/>
        </w:rPr>
        <w:t xml:space="preserve"> two year olds</w:t>
      </w:r>
      <w:r w:rsidR="00ED6987" w:rsidRPr="009F59A6">
        <w:rPr>
          <w:u w:val="single"/>
        </w:rPr>
        <w:t xml:space="preserve"> £</w:t>
      </w:r>
      <w:r w:rsidR="003B041F" w:rsidRPr="009F59A6">
        <w:rPr>
          <w:u w:val="single"/>
        </w:rPr>
        <w:t>8.565m</w:t>
      </w:r>
    </w:p>
    <w:p w14:paraId="7F14E516" w14:textId="77777777" w:rsidR="004B7BEE" w:rsidRPr="009F59A6" w:rsidRDefault="00833C0F" w:rsidP="00D924CC">
      <w:pPr>
        <w:pStyle w:val="Default0"/>
        <w:jc w:val="both"/>
      </w:pPr>
      <w:r w:rsidRPr="009F59A6">
        <w:t xml:space="preserve">The </w:t>
      </w:r>
      <w:r w:rsidR="00A345EE" w:rsidRPr="009F59A6">
        <w:t>201</w:t>
      </w:r>
      <w:r w:rsidR="00120462" w:rsidRPr="009F59A6">
        <w:t>6</w:t>
      </w:r>
      <w:r w:rsidR="00A345EE" w:rsidRPr="009F59A6">
        <w:t>/1</w:t>
      </w:r>
      <w:r w:rsidR="00120462" w:rsidRPr="009F59A6">
        <w:t>7</w:t>
      </w:r>
      <w:r w:rsidRPr="009F59A6">
        <w:t xml:space="preserve"> per child hourly rates for disadvantaged two-year-olds </w:t>
      </w:r>
      <w:r w:rsidR="00120462" w:rsidRPr="009F59A6">
        <w:t>is the same as for 2015/16</w:t>
      </w:r>
      <w:r w:rsidRPr="009F59A6">
        <w:t xml:space="preserve"> </w:t>
      </w:r>
      <w:r w:rsidR="00A345EE" w:rsidRPr="009F59A6">
        <w:t xml:space="preserve">and </w:t>
      </w:r>
      <w:r w:rsidRPr="009F59A6">
        <w:t>Lancashire's rate is £4.85</w:t>
      </w:r>
      <w:r w:rsidR="00ED6987" w:rsidRPr="009F59A6">
        <w:t xml:space="preserve"> per hour</w:t>
      </w:r>
      <w:r w:rsidR="00A345EE" w:rsidRPr="009F59A6">
        <w:t>.</w:t>
      </w:r>
    </w:p>
    <w:p w14:paraId="5FA57F4A" w14:textId="77777777" w:rsidR="00A345EE" w:rsidRPr="009F59A6" w:rsidRDefault="00A345EE" w:rsidP="00D924CC">
      <w:pPr>
        <w:pStyle w:val="Default0"/>
        <w:jc w:val="both"/>
      </w:pPr>
    </w:p>
    <w:p w14:paraId="6B11354A" w14:textId="77777777" w:rsidR="004B7BEE" w:rsidRPr="009F59A6" w:rsidRDefault="00ED6987" w:rsidP="00D924CC">
      <w:pPr>
        <w:pStyle w:val="Default0"/>
        <w:jc w:val="both"/>
      </w:pPr>
      <w:r w:rsidRPr="009F59A6">
        <w:t xml:space="preserve">Pupil numbers have initially been taken from the January 2015 early </w:t>
      </w:r>
      <w:proofErr w:type="gramStart"/>
      <w:r w:rsidRPr="009F59A6">
        <w:t>years</w:t>
      </w:r>
      <w:proofErr w:type="gramEnd"/>
      <w:r w:rsidRPr="009F59A6">
        <w:t xml:space="preserve"> census and school census.</w:t>
      </w:r>
      <w:r w:rsidR="0043648D" w:rsidRPr="009F59A6">
        <w:t xml:space="preserve">  </w:t>
      </w:r>
      <w:r w:rsidR="005D52FD" w:rsidRPr="009F59A6">
        <w:t>T</w:t>
      </w:r>
      <w:r w:rsidR="00833C0F" w:rsidRPr="009F59A6">
        <w:t xml:space="preserve">he allocations will be updated in </w:t>
      </w:r>
      <w:r w:rsidR="00F76C5B" w:rsidRPr="009F59A6">
        <w:t>July</w:t>
      </w:r>
      <w:r w:rsidR="00833C0F" w:rsidRPr="009F59A6">
        <w:t xml:space="preserve"> 201</w:t>
      </w:r>
      <w:r w:rsidR="00264EB9" w:rsidRPr="009F59A6">
        <w:t>7</w:t>
      </w:r>
      <w:r w:rsidR="00833C0F" w:rsidRPr="009F59A6">
        <w:t>, based on 5/12ths of the January 201</w:t>
      </w:r>
      <w:r w:rsidR="00264EB9" w:rsidRPr="009F59A6">
        <w:t>6</w:t>
      </w:r>
      <w:r w:rsidR="00833C0F" w:rsidRPr="009F59A6">
        <w:t xml:space="preserve"> </w:t>
      </w:r>
      <w:r w:rsidRPr="009F59A6">
        <w:t xml:space="preserve">pupil </w:t>
      </w:r>
      <w:r w:rsidR="00833C0F" w:rsidRPr="009F59A6">
        <w:t>numbers (to cover the April 201</w:t>
      </w:r>
      <w:r w:rsidR="00264EB9" w:rsidRPr="009F59A6">
        <w:t>6</w:t>
      </w:r>
      <w:r w:rsidR="00833C0F" w:rsidRPr="009F59A6">
        <w:t xml:space="preserve"> to August 201</w:t>
      </w:r>
      <w:r w:rsidR="00264EB9" w:rsidRPr="009F59A6">
        <w:t>6</w:t>
      </w:r>
      <w:r w:rsidR="00833C0F" w:rsidRPr="009F59A6">
        <w:t xml:space="preserve"> period) and 7/12ths of the January 201</w:t>
      </w:r>
      <w:r w:rsidR="00264EB9" w:rsidRPr="009F59A6">
        <w:t>7</w:t>
      </w:r>
      <w:r w:rsidR="00833C0F" w:rsidRPr="009F59A6">
        <w:t xml:space="preserve"> </w:t>
      </w:r>
      <w:r w:rsidRPr="009F59A6">
        <w:t xml:space="preserve">pupil </w:t>
      </w:r>
      <w:r w:rsidR="00833C0F" w:rsidRPr="009F59A6">
        <w:t>numbers (to cover the Septem</w:t>
      </w:r>
      <w:r w:rsidR="005D52FD" w:rsidRPr="009F59A6">
        <w:t>ber 201</w:t>
      </w:r>
      <w:r w:rsidR="00264EB9" w:rsidRPr="009F59A6">
        <w:t>6</w:t>
      </w:r>
      <w:r w:rsidR="005D52FD" w:rsidRPr="009F59A6">
        <w:t xml:space="preserve"> to March 201</w:t>
      </w:r>
      <w:r w:rsidR="00264EB9" w:rsidRPr="009F59A6">
        <w:t>7</w:t>
      </w:r>
      <w:r w:rsidR="005D52FD" w:rsidRPr="009F59A6">
        <w:t xml:space="preserve"> period). </w:t>
      </w:r>
      <w:r w:rsidR="00833C0F" w:rsidRPr="009F59A6">
        <w:t>This means that the final allocations for the funding for two year olds will be based on 5/12 x January 201</w:t>
      </w:r>
      <w:r w:rsidR="00264EB9" w:rsidRPr="009F59A6">
        <w:t>6</w:t>
      </w:r>
      <w:r w:rsidR="00833C0F" w:rsidRPr="009F59A6">
        <w:t xml:space="preserve"> </w:t>
      </w:r>
      <w:r w:rsidRPr="009F59A6">
        <w:t xml:space="preserve">pupil </w:t>
      </w:r>
      <w:r w:rsidR="00833C0F" w:rsidRPr="009F59A6">
        <w:t>numbers plus 7/12 x January 201</w:t>
      </w:r>
      <w:r w:rsidR="00264EB9" w:rsidRPr="009F59A6">
        <w:t>7</w:t>
      </w:r>
      <w:r w:rsidR="00833C0F" w:rsidRPr="009F59A6">
        <w:t xml:space="preserve"> </w:t>
      </w:r>
      <w:r w:rsidRPr="009F59A6">
        <w:t xml:space="preserve">pupil </w:t>
      </w:r>
      <w:r w:rsidR="00833C0F" w:rsidRPr="009F59A6">
        <w:t>numbers.</w:t>
      </w:r>
    </w:p>
    <w:p w14:paraId="0E3637F2" w14:textId="77777777" w:rsidR="004B7BEE" w:rsidRPr="009F59A6" w:rsidRDefault="004B7BEE" w:rsidP="00D924CC">
      <w:pPr>
        <w:pStyle w:val="Default0"/>
        <w:jc w:val="both"/>
      </w:pPr>
    </w:p>
    <w:p w14:paraId="510CED4B" w14:textId="7366CE1F" w:rsidR="001B02F7" w:rsidRPr="009F59A6" w:rsidRDefault="001B02F7" w:rsidP="00D924CC">
      <w:pPr>
        <w:pStyle w:val="Default0"/>
        <w:jc w:val="both"/>
      </w:pPr>
      <w:r w:rsidRPr="009F59A6">
        <w:t xml:space="preserve">Officers have estimated </w:t>
      </w:r>
      <w:r w:rsidR="00ED6987" w:rsidRPr="009F59A6">
        <w:t>growth of 2% for 2 year olds to reflect increase in demand, this equates to a potential further £</w:t>
      </w:r>
      <w:r w:rsidR="003B041F" w:rsidRPr="009F59A6">
        <w:t>1.594m</w:t>
      </w:r>
      <w:r w:rsidR="00ED6987" w:rsidRPr="009F59A6">
        <w:t xml:space="preserve"> DSG funding</w:t>
      </w:r>
      <w:r w:rsidRPr="009F59A6">
        <w:t xml:space="preserve"> for disadvantaged two year olds</w:t>
      </w:r>
      <w:r w:rsidR="00EA11F4" w:rsidRPr="009F59A6">
        <w:t>.</w:t>
      </w:r>
    </w:p>
    <w:p w14:paraId="3F6E6FD6" w14:textId="77777777" w:rsidR="00B53BBF" w:rsidRPr="009F59A6" w:rsidRDefault="00B53BBF" w:rsidP="00D924CC">
      <w:pPr>
        <w:pStyle w:val="Header"/>
        <w:jc w:val="both"/>
        <w:rPr>
          <w:rFonts w:cs="Arial"/>
          <w:szCs w:val="24"/>
        </w:rPr>
      </w:pPr>
    </w:p>
    <w:p w14:paraId="0AC539B7" w14:textId="49FE6AE8" w:rsidR="00EC03A9" w:rsidRPr="009F59A6" w:rsidRDefault="00EC03A9" w:rsidP="00D924CC">
      <w:pPr>
        <w:pStyle w:val="Header"/>
        <w:jc w:val="both"/>
        <w:rPr>
          <w:rFonts w:cs="Arial"/>
          <w:szCs w:val="24"/>
          <w:u w:val="single"/>
        </w:rPr>
      </w:pPr>
      <w:r w:rsidRPr="009F59A6">
        <w:rPr>
          <w:rFonts w:cs="Arial"/>
          <w:szCs w:val="24"/>
          <w:u w:val="single"/>
        </w:rPr>
        <w:t>High Needs Block £</w:t>
      </w:r>
      <w:r w:rsidR="005D52FD" w:rsidRPr="009F59A6">
        <w:rPr>
          <w:rFonts w:cs="Arial"/>
          <w:szCs w:val="24"/>
          <w:u w:val="single"/>
        </w:rPr>
        <w:t>10</w:t>
      </w:r>
      <w:r w:rsidR="003B041F" w:rsidRPr="009F59A6">
        <w:rPr>
          <w:rFonts w:cs="Arial"/>
          <w:szCs w:val="24"/>
          <w:u w:val="single"/>
        </w:rPr>
        <w:t>1.578</w:t>
      </w:r>
      <w:r w:rsidRPr="009F59A6">
        <w:rPr>
          <w:rFonts w:cs="Arial"/>
          <w:szCs w:val="24"/>
          <w:u w:val="single"/>
        </w:rPr>
        <w:t>m</w:t>
      </w:r>
    </w:p>
    <w:p w14:paraId="4B43D435" w14:textId="77777777" w:rsidR="00F611B5" w:rsidRPr="009F59A6" w:rsidRDefault="00F611B5" w:rsidP="00D924CC">
      <w:pPr>
        <w:pStyle w:val="Header"/>
        <w:jc w:val="both"/>
        <w:rPr>
          <w:rFonts w:cs="Arial"/>
          <w:szCs w:val="24"/>
        </w:rPr>
      </w:pPr>
      <w:r w:rsidRPr="009F59A6">
        <w:rPr>
          <w:rFonts w:cs="Arial"/>
          <w:szCs w:val="24"/>
        </w:rPr>
        <w:t>The high needs block is a single block for local authorities</w:t>
      </w:r>
      <w:r w:rsidR="00A345EE" w:rsidRPr="009F59A6">
        <w:rPr>
          <w:rFonts w:cs="Arial"/>
          <w:szCs w:val="24"/>
        </w:rPr>
        <w:t>,</w:t>
      </w:r>
      <w:r w:rsidRPr="009F59A6">
        <w:rPr>
          <w:rFonts w:cs="Arial"/>
          <w:szCs w:val="24"/>
        </w:rPr>
        <w:t xml:space="preserve"> high needs pupils/students aged 0-24. The block includes place funding for pre 16 and post 16.</w:t>
      </w:r>
    </w:p>
    <w:p w14:paraId="5F5A7F54" w14:textId="77777777" w:rsidR="00A345EE" w:rsidRPr="009F59A6" w:rsidRDefault="00A345EE" w:rsidP="00D924CC">
      <w:pPr>
        <w:pStyle w:val="Header"/>
        <w:ind w:left="360"/>
        <w:jc w:val="both"/>
        <w:rPr>
          <w:rFonts w:cs="Arial"/>
          <w:szCs w:val="24"/>
        </w:rPr>
      </w:pPr>
    </w:p>
    <w:p w14:paraId="2DD3AA5C" w14:textId="77777777" w:rsidR="00F611B5" w:rsidRPr="009F59A6" w:rsidRDefault="00F611B5" w:rsidP="00D924CC">
      <w:pPr>
        <w:pStyle w:val="Header"/>
        <w:jc w:val="both"/>
        <w:rPr>
          <w:rFonts w:cs="Arial"/>
          <w:szCs w:val="24"/>
        </w:rPr>
      </w:pPr>
      <w:r w:rsidRPr="009F59A6">
        <w:rPr>
          <w:rFonts w:cs="Arial"/>
          <w:szCs w:val="24"/>
        </w:rPr>
        <w:t>For 201</w:t>
      </w:r>
      <w:r w:rsidR="00264EB9" w:rsidRPr="009F59A6">
        <w:rPr>
          <w:rFonts w:cs="Arial"/>
          <w:szCs w:val="24"/>
        </w:rPr>
        <w:t>6</w:t>
      </w:r>
      <w:r w:rsidRPr="009F59A6">
        <w:rPr>
          <w:rFonts w:cs="Arial"/>
          <w:szCs w:val="24"/>
        </w:rPr>
        <w:t xml:space="preserve"> to 201</w:t>
      </w:r>
      <w:r w:rsidR="00264EB9" w:rsidRPr="009F59A6">
        <w:rPr>
          <w:rFonts w:cs="Arial"/>
          <w:szCs w:val="24"/>
        </w:rPr>
        <w:t>7</w:t>
      </w:r>
      <w:r w:rsidRPr="009F59A6">
        <w:rPr>
          <w:rFonts w:cs="Arial"/>
          <w:szCs w:val="24"/>
        </w:rPr>
        <w:t xml:space="preserve"> the high needs block is made up of:</w:t>
      </w:r>
    </w:p>
    <w:p w14:paraId="2C3B5407" w14:textId="77777777" w:rsidR="004B7BEE" w:rsidRPr="009F59A6" w:rsidRDefault="00EA11F4" w:rsidP="00D924CC">
      <w:pPr>
        <w:pStyle w:val="Header"/>
        <w:numPr>
          <w:ilvl w:val="0"/>
          <w:numId w:val="15"/>
        </w:numPr>
        <w:jc w:val="both"/>
        <w:rPr>
          <w:rFonts w:cs="Arial"/>
          <w:szCs w:val="24"/>
        </w:rPr>
      </w:pPr>
      <w:r w:rsidRPr="009F59A6">
        <w:rPr>
          <w:rFonts w:cs="Arial"/>
          <w:szCs w:val="24"/>
        </w:rPr>
        <w:t>e</w:t>
      </w:r>
      <w:r w:rsidR="00F611B5" w:rsidRPr="009F59A6">
        <w:rPr>
          <w:rFonts w:cs="Arial"/>
          <w:szCs w:val="24"/>
        </w:rPr>
        <w:t xml:space="preserve">ach local authority’s </w:t>
      </w:r>
      <w:r w:rsidR="00A345EE" w:rsidRPr="009F59A6">
        <w:rPr>
          <w:rFonts w:cs="Arial"/>
          <w:szCs w:val="24"/>
        </w:rPr>
        <w:t>total high needs block from 201</w:t>
      </w:r>
      <w:r w:rsidR="00264EB9" w:rsidRPr="009F59A6">
        <w:rPr>
          <w:rFonts w:cs="Arial"/>
          <w:szCs w:val="24"/>
        </w:rPr>
        <w:t>5</w:t>
      </w:r>
      <w:r w:rsidR="00A345EE" w:rsidRPr="009F59A6">
        <w:rPr>
          <w:rFonts w:cs="Arial"/>
          <w:szCs w:val="24"/>
        </w:rPr>
        <w:t>/1</w:t>
      </w:r>
      <w:r w:rsidR="00264EB9" w:rsidRPr="009F59A6">
        <w:rPr>
          <w:rFonts w:cs="Arial"/>
          <w:szCs w:val="24"/>
        </w:rPr>
        <w:t>6</w:t>
      </w:r>
      <w:r w:rsidR="00F611B5" w:rsidRPr="009F59A6">
        <w:rPr>
          <w:rFonts w:cs="Arial"/>
          <w:szCs w:val="24"/>
        </w:rPr>
        <w:t>; plus</w:t>
      </w:r>
    </w:p>
    <w:p w14:paraId="7B136AC1" w14:textId="77777777" w:rsidR="00F611B5" w:rsidRPr="009F59A6" w:rsidRDefault="00264EB9" w:rsidP="00045E79">
      <w:pPr>
        <w:pStyle w:val="Header"/>
        <w:numPr>
          <w:ilvl w:val="0"/>
          <w:numId w:val="15"/>
        </w:numPr>
        <w:jc w:val="both"/>
        <w:rPr>
          <w:rFonts w:cs="Arial"/>
          <w:szCs w:val="24"/>
        </w:rPr>
      </w:pPr>
      <w:r w:rsidRPr="009F59A6">
        <w:rPr>
          <w:rFonts w:cs="Arial"/>
        </w:rPr>
        <w:t>Increased funding of £1.7m;</w:t>
      </w:r>
    </w:p>
    <w:p w14:paraId="32F362A1" w14:textId="77777777" w:rsidR="00EC03A9" w:rsidRPr="009F59A6" w:rsidRDefault="00EC03A9" w:rsidP="00D924CC">
      <w:pPr>
        <w:pStyle w:val="Header"/>
        <w:ind w:left="360"/>
        <w:jc w:val="both"/>
        <w:rPr>
          <w:rFonts w:cs="Arial"/>
          <w:szCs w:val="24"/>
        </w:rPr>
      </w:pPr>
    </w:p>
    <w:p w14:paraId="3E1B7F59" w14:textId="77777777" w:rsidR="00EC03A9" w:rsidRPr="009F59A6" w:rsidRDefault="00F611B5" w:rsidP="00D924CC">
      <w:pPr>
        <w:pStyle w:val="Header"/>
        <w:jc w:val="both"/>
        <w:rPr>
          <w:rFonts w:cs="Arial"/>
          <w:szCs w:val="24"/>
          <w:u w:val="single"/>
        </w:rPr>
      </w:pPr>
      <w:r w:rsidRPr="009F59A6">
        <w:rPr>
          <w:rFonts w:cs="Arial"/>
          <w:szCs w:val="24"/>
          <w:u w:val="single"/>
        </w:rPr>
        <w:t>Estimate of EFA a</w:t>
      </w:r>
      <w:r w:rsidR="00EC03A9" w:rsidRPr="009F59A6">
        <w:rPr>
          <w:rFonts w:cs="Arial"/>
          <w:szCs w:val="24"/>
          <w:u w:val="single"/>
        </w:rPr>
        <w:t>djustment to High Needs Block – Reduction £</w:t>
      </w:r>
      <w:r w:rsidR="005431A2" w:rsidRPr="009F59A6">
        <w:rPr>
          <w:rFonts w:cs="Arial"/>
          <w:szCs w:val="24"/>
          <w:u w:val="single"/>
        </w:rPr>
        <w:t>4.</w:t>
      </w:r>
      <w:r w:rsidR="000B1A6C" w:rsidRPr="009F59A6">
        <w:rPr>
          <w:rFonts w:cs="Arial"/>
          <w:szCs w:val="24"/>
          <w:u w:val="single"/>
        </w:rPr>
        <w:t>672m</w:t>
      </w:r>
    </w:p>
    <w:p w14:paraId="3FF15066" w14:textId="77777777" w:rsidR="005431A2" w:rsidRPr="009F59A6" w:rsidRDefault="00F611B5" w:rsidP="00D924CC">
      <w:pPr>
        <w:pStyle w:val="Header"/>
        <w:jc w:val="both"/>
        <w:rPr>
          <w:rFonts w:cs="Arial"/>
          <w:szCs w:val="24"/>
        </w:rPr>
      </w:pPr>
      <w:r w:rsidRPr="009F59A6">
        <w:rPr>
          <w:rFonts w:cs="Arial"/>
          <w:szCs w:val="24"/>
        </w:rPr>
        <w:t>Adjustments will be made to this sub block to account for both pre and post 16 places which are funded outside of the DSG: those that are funded by the EFA through direct payments to academies (with special units or resourced provision), special academies, alternative provision academies, academies with hospital education and non-maintained special schools; and post 16 places that are funded through the sixth form grant to local authorities.</w:t>
      </w:r>
    </w:p>
    <w:p w14:paraId="27A63571" w14:textId="77777777" w:rsidR="00EC03A9" w:rsidRPr="009F59A6" w:rsidRDefault="00EC03A9" w:rsidP="00D924CC">
      <w:pPr>
        <w:pStyle w:val="Header"/>
        <w:ind w:left="360"/>
        <w:jc w:val="both"/>
        <w:rPr>
          <w:rFonts w:cs="Arial"/>
          <w:szCs w:val="24"/>
        </w:rPr>
      </w:pPr>
    </w:p>
    <w:p w14:paraId="2E5D0878" w14:textId="77777777" w:rsidR="00F611B5" w:rsidRPr="009F59A6" w:rsidRDefault="00F611B5" w:rsidP="00D924CC">
      <w:pPr>
        <w:pStyle w:val="Header"/>
        <w:jc w:val="both"/>
        <w:rPr>
          <w:rFonts w:cs="Arial"/>
          <w:szCs w:val="24"/>
          <w:u w:val="single"/>
        </w:rPr>
      </w:pPr>
      <w:r w:rsidRPr="009F59A6">
        <w:rPr>
          <w:rFonts w:cs="Arial"/>
          <w:szCs w:val="24"/>
          <w:u w:val="single"/>
        </w:rPr>
        <w:t>Induction for newly qualified teachers (NQTs) £0.</w:t>
      </w:r>
      <w:r w:rsidR="000B1A6C" w:rsidRPr="009F59A6">
        <w:rPr>
          <w:rFonts w:cs="Arial"/>
          <w:szCs w:val="24"/>
          <w:u w:val="single"/>
        </w:rPr>
        <w:t>227m</w:t>
      </w:r>
    </w:p>
    <w:p w14:paraId="421AA3F5" w14:textId="77777777" w:rsidR="004B7BEE" w:rsidRPr="009F59A6" w:rsidRDefault="00F611B5" w:rsidP="00D924CC">
      <w:pPr>
        <w:pStyle w:val="Header"/>
        <w:jc w:val="both"/>
        <w:rPr>
          <w:rFonts w:cs="Arial"/>
          <w:szCs w:val="24"/>
        </w:rPr>
      </w:pPr>
      <w:r w:rsidRPr="009F59A6">
        <w:rPr>
          <w:rFonts w:cs="Arial"/>
          <w:szCs w:val="24"/>
        </w:rPr>
        <w:t xml:space="preserve">In September 2012, the induction regulations changed so that teaching schools can act as the appropriate body to monitor and quality assure NQT induction. In order to allow schools to pay for the services of their preferred appropriate body, the funding for statutory induction of NQTs was </w:t>
      </w:r>
      <w:r w:rsidR="005E3D5F" w:rsidRPr="009F59A6">
        <w:rPr>
          <w:rFonts w:cs="Arial"/>
          <w:szCs w:val="24"/>
        </w:rPr>
        <w:t>moved into the DSG in 2013/</w:t>
      </w:r>
      <w:r w:rsidRPr="009F59A6">
        <w:rPr>
          <w:rFonts w:cs="Arial"/>
          <w:szCs w:val="24"/>
        </w:rPr>
        <w:t>14, to allow funding to be delegated to all schools through local funding formulae. This is allocated to each local authority on a per pupil basis (using the pupil numbers used for the schools block).</w:t>
      </w:r>
    </w:p>
    <w:p w14:paraId="1310C8F8" w14:textId="77777777" w:rsidR="004B7BEE" w:rsidRPr="009F59A6" w:rsidRDefault="004B7BEE" w:rsidP="00D924CC">
      <w:pPr>
        <w:pStyle w:val="Header"/>
        <w:jc w:val="both"/>
        <w:rPr>
          <w:rFonts w:cs="Arial"/>
          <w:szCs w:val="24"/>
          <w:u w:val="single"/>
        </w:rPr>
      </w:pPr>
    </w:p>
    <w:p w14:paraId="05396BEB" w14:textId="77777777" w:rsidR="00EC03A9" w:rsidRPr="009F59A6" w:rsidRDefault="00EC03A9" w:rsidP="00D924CC">
      <w:pPr>
        <w:pStyle w:val="Header"/>
        <w:jc w:val="both"/>
        <w:rPr>
          <w:rFonts w:cs="Arial"/>
          <w:b/>
          <w:szCs w:val="24"/>
          <w:u w:val="single"/>
        </w:rPr>
      </w:pPr>
    </w:p>
    <w:p w14:paraId="06EDD564" w14:textId="77777777" w:rsidR="00EC03A9" w:rsidRPr="00D924CC" w:rsidRDefault="00804360" w:rsidP="00D924CC">
      <w:pPr>
        <w:pStyle w:val="Header"/>
        <w:jc w:val="both"/>
        <w:rPr>
          <w:rFonts w:cs="Arial"/>
          <w:b/>
          <w:szCs w:val="24"/>
          <w:u w:val="single"/>
        </w:rPr>
      </w:pPr>
      <w:r w:rsidRPr="009F59A6">
        <w:rPr>
          <w:rFonts w:cs="Arial"/>
          <w:b/>
          <w:szCs w:val="24"/>
          <w:u w:val="single"/>
        </w:rPr>
        <w:t>Budget</w:t>
      </w:r>
      <w:r w:rsidR="00EC03A9" w:rsidRPr="009F59A6">
        <w:rPr>
          <w:rFonts w:cs="Arial"/>
          <w:b/>
          <w:szCs w:val="24"/>
          <w:u w:val="single"/>
        </w:rPr>
        <w:t xml:space="preserve"> </w:t>
      </w:r>
      <w:r w:rsidR="00F60F85" w:rsidRPr="009F59A6">
        <w:rPr>
          <w:rFonts w:cs="Arial"/>
          <w:b/>
          <w:szCs w:val="24"/>
          <w:u w:val="single"/>
        </w:rPr>
        <w:t>2016/17</w:t>
      </w:r>
    </w:p>
    <w:p w14:paraId="6D200796" w14:textId="77777777" w:rsidR="00EC03A9" w:rsidRPr="00D924CC" w:rsidRDefault="00EC03A9" w:rsidP="00D924CC">
      <w:pPr>
        <w:pStyle w:val="Header"/>
        <w:jc w:val="both"/>
        <w:rPr>
          <w:rFonts w:cs="Arial"/>
          <w:szCs w:val="24"/>
        </w:rPr>
      </w:pPr>
      <w:r w:rsidRPr="00D924CC">
        <w:rPr>
          <w:rFonts w:cs="Arial"/>
          <w:szCs w:val="24"/>
        </w:rPr>
        <w:t xml:space="preserve">The latest Individual School Budgets (ISB) across all phases has been constructed using the final datasets made available from the </w:t>
      </w:r>
      <w:r w:rsidR="00D7488F" w:rsidRPr="00D924CC">
        <w:rPr>
          <w:rFonts w:cs="Arial"/>
          <w:szCs w:val="24"/>
        </w:rPr>
        <w:t>EFA</w:t>
      </w:r>
      <w:r w:rsidRPr="00D924CC">
        <w:rPr>
          <w:rFonts w:cs="Arial"/>
          <w:szCs w:val="24"/>
        </w:rPr>
        <w:t xml:space="preserve"> and our latest </w:t>
      </w:r>
      <w:r w:rsidR="00D7488F" w:rsidRPr="00D924CC">
        <w:rPr>
          <w:rFonts w:cs="Arial"/>
          <w:szCs w:val="24"/>
        </w:rPr>
        <w:t xml:space="preserve">local </w:t>
      </w:r>
      <w:r w:rsidRPr="00D924CC">
        <w:rPr>
          <w:rFonts w:cs="Arial"/>
          <w:szCs w:val="24"/>
        </w:rPr>
        <w:t xml:space="preserve">Early Years </w:t>
      </w:r>
      <w:r w:rsidR="00D7488F" w:rsidRPr="00D924CC">
        <w:rPr>
          <w:rFonts w:cs="Arial"/>
          <w:szCs w:val="24"/>
        </w:rPr>
        <w:t xml:space="preserve">and High Needs </w:t>
      </w:r>
      <w:r w:rsidRPr="00D924CC">
        <w:rPr>
          <w:rFonts w:cs="Arial"/>
          <w:szCs w:val="24"/>
        </w:rPr>
        <w:t xml:space="preserve">data. The </w:t>
      </w:r>
      <w:r w:rsidR="00D7488F" w:rsidRPr="00D924CC">
        <w:rPr>
          <w:rFonts w:cs="Arial"/>
          <w:szCs w:val="24"/>
        </w:rPr>
        <w:t xml:space="preserve">budget setting </w:t>
      </w:r>
      <w:r w:rsidRPr="00D924CC">
        <w:rPr>
          <w:rFonts w:cs="Arial"/>
          <w:szCs w:val="24"/>
        </w:rPr>
        <w:t xml:space="preserve">principles </w:t>
      </w:r>
      <w:r w:rsidR="00D7488F" w:rsidRPr="00D924CC">
        <w:rPr>
          <w:rFonts w:cs="Arial"/>
          <w:szCs w:val="24"/>
        </w:rPr>
        <w:t>agreed</w:t>
      </w:r>
      <w:r w:rsidRPr="00D924CC">
        <w:rPr>
          <w:rFonts w:cs="Arial"/>
          <w:szCs w:val="24"/>
        </w:rPr>
        <w:t xml:space="preserve"> by </w:t>
      </w:r>
      <w:r w:rsidR="00D7488F" w:rsidRPr="00D924CC">
        <w:rPr>
          <w:rFonts w:cs="Arial"/>
          <w:szCs w:val="24"/>
        </w:rPr>
        <w:t xml:space="preserve">the Schools Forum </w:t>
      </w:r>
      <w:r w:rsidRPr="00D924CC">
        <w:rPr>
          <w:rFonts w:cs="Arial"/>
          <w:szCs w:val="24"/>
        </w:rPr>
        <w:t xml:space="preserve">have been used as the basis </w:t>
      </w:r>
      <w:r w:rsidR="00D7488F" w:rsidRPr="00D924CC">
        <w:rPr>
          <w:rFonts w:cs="Arial"/>
          <w:szCs w:val="24"/>
        </w:rPr>
        <w:t>for developing the</w:t>
      </w:r>
      <w:r w:rsidRPr="00D924CC">
        <w:rPr>
          <w:rFonts w:cs="Arial"/>
          <w:szCs w:val="24"/>
        </w:rPr>
        <w:t xml:space="preserve"> initial forecast of ISBs. This has allowed Officers to calculate the headroom</w:t>
      </w:r>
      <w:r w:rsidR="00804360" w:rsidRPr="00D924CC">
        <w:rPr>
          <w:rFonts w:cs="Arial"/>
          <w:szCs w:val="24"/>
        </w:rPr>
        <w:t xml:space="preserve"> / shortfall</w:t>
      </w:r>
      <w:r w:rsidRPr="00D924CC">
        <w:rPr>
          <w:rFonts w:cs="Arial"/>
          <w:szCs w:val="24"/>
        </w:rPr>
        <w:t xml:space="preserve"> </w:t>
      </w:r>
      <w:r w:rsidR="00804360" w:rsidRPr="00D924CC">
        <w:rPr>
          <w:rFonts w:cs="Arial"/>
          <w:szCs w:val="24"/>
        </w:rPr>
        <w:t xml:space="preserve">in funding </w:t>
      </w:r>
      <w:r w:rsidRPr="00D924CC">
        <w:rPr>
          <w:rFonts w:cs="Arial"/>
          <w:szCs w:val="24"/>
        </w:rPr>
        <w:t>available in the schools budget.</w:t>
      </w:r>
    </w:p>
    <w:p w14:paraId="00CFF06B" w14:textId="77777777" w:rsidR="00EC03A9" w:rsidRPr="00D924CC" w:rsidRDefault="00EC03A9" w:rsidP="00D924CC">
      <w:pPr>
        <w:pStyle w:val="Header"/>
        <w:jc w:val="both"/>
        <w:rPr>
          <w:rFonts w:cs="Arial"/>
          <w:szCs w:val="24"/>
        </w:rPr>
      </w:pPr>
    </w:p>
    <w:p w14:paraId="4446F424" w14:textId="77777777" w:rsidR="00F11122" w:rsidRDefault="00F95898" w:rsidP="00D924CC">
      <w:pPr>
        <w:pStyle w:val="Header"/>
        <w:jc w:val="both"/>
        <w:rPr>
          <w:rFonts w:cs="Arial"/>
          <w:szCs w:val="24"/>
        </w:rPr>
      </w:pPr>
      <w:r w:rsidRPr="00D924CC">
        <w:rPr>
          <w:rFonts w:cs="Arial"/>
          <w:szCs w:val="24"/>
        </w:rPr>
        <w:t xml:space="preserve">This </w:t>
      </w:r>
      <w:r w:rsidR="00EA11F4">
        <w:rPr>
          <w:rFonts w:cs="Arial"/>
          <w:szCs w:val="24"/>
        </w:rPr>
        <w:t>S</w:t>
      </w:r>
      <w:r w:rsidRPr="00D924CC">
        <w:rPr>
          <w:rFonts w:cs="Arial"/>
          <w:szCs w:val="24"/>
        </w:rPr>
        <w:t xml:space="preserve">chools </w:t>
      </w:r>
      <w:r w:rsidR="00EA11F4">
        <w:rPr>
          <w:rFonts w:cs="Arial"/>
          <w:szCs w:val="24"/>
        </w:rPr>
        <w:t>B</w:t>
      </w:r>
      <w:r w:rsidRPr="00D924CC">
        <w:rPr>
          <w:rFonts w:cs="Arial"/>
          <w:szCs w:val="24"/>
        </w:rPr>
        <w:t xml:space="preserve">lock budget estimate has been calculated using the </w:t>
      </w:r>
      <w:r w:rsidR="00EA11F4">
        <w:rPr>
          <w:rFonts w:cs="Arial"/>
          <w:szCs w:val="24"/>
        </w:rPr>
        <w:t>School F</w:t>
      </w:r>
      <w:r w:rsidRPr="00D924CC">
        <w:rPr>
          <w:rFonts w:cs="Arial"/>
          <w:szCs w:val="24"/>
        </w:rPr>
        <w:t>orum principle of stability in cash values attributed to each formula factor (excluding AWPU)</w:t>
      </w:r>
      <w:r w:rsidR="00F11122">
        <w:rPr>
          <w:rFonts w:cs="Arial"/>
          <w:szCs w:val="24"/>
        </w:rPr>
        <w:t xml:space="preserve">.  Factors are </w:t>
      </w:r>
      <w:r w:rsidRPr="00D924CC">
        <w:rPr>
          <w:rFonts w:cs="Arial"/>
          <w:szCs w:val="24"/>
        </w:rPr>
        <w:t xml:space="preserve">limited to </w:t>
      </w:r>
      <w:r w:rsidRPr="00940293">
        <w:rPr>
          <w:rFonts w:cs="Arial"/>
          <w:szCs w:val="24"/>
        </w:rPr>
        <w:t xml:space="preserve">the </w:t>
      </w:r>
      <w:r w:rsidR="00940293" w:rsidRPr="00940293">
        <w:rPr>
          <w:rFonts w:cs="Arial"/>
          <w:szCs w:val="24"/>
        </w:rPr>
        <w:t>2015</w:t>
      </w:r>
      <w:r w:rsidRPr="00940293">
        <w:rPr>
          <w:rFonts w:cs="Arial"/>
          <w:szCs w:val="24"/>
        </w:rPr>
        <w:t>/1</w:t>
      </w:r>
      <w:r w:rsidR="00940293" w:rsidRPr="00940293">
        <w:rPr>
          <w:rFonts w:cs="Arial"/>
          <w:szCs w:val="24"/>
        </w:rPr>
        <w:t>6</w:t>
      </w:r>
      <w:r w:rsidRPr="00940293">
        <w:rPr>
          <w:rFonts w:cs="Arial"/>
          <w:szCs w:val="24"/>
        </w:rPr>
        <w:t xml:space="preserve"> levels</w:t>
      </w:r>
      <w:r w:rsidR="00F11122" w:rsidRPr="00940293">
        <w:rPr>
          <w:rFonts w:cs="Arial"/>
          <w:szCs w:val="24"/>
        </w:rPr>
        <w:t>.  The f</w:t>
      </w:r>
      <w:r w:rsidRPr="00940293">
        <w:rPr>
          <w:rFonts w:cs="Arial"/>
          <w:szCs w:val="24"/>
        </w:rPr>
        <w:t xml:space="preserve">unding rates </w:t>
      </w:r>
      <w:r w:rsidR="00F11122" w:rsidRPr="00940293">
        <w:rPr>
          <w:rFonts w:cs="Arial"/>
          <w:szCs w:val="24"/>
        </w:rPr>
        <w:t>for</w:t>
      </w:r>
      <w:r w:rsidRPr="00940293">
        <w:rPr>
          <w:rFonts w:cs="Arial"/>
          <w:szCs w:val="24"/>
        </w:rPr>
        <w:t xml:space="preserve"> some factors ha</w:t>
      </w:r>
      <w:r w:rsidR="00F11122" w:rsidRPr="00940293">
        <w:rPr>
          <w:rFonts w:cs="Arial"/>
          <w:szCs w:val="24"/>
        </w:rPr>
        <w:t>ve</w:t>
      </w:r>
      <w:r w:rsidRPr="00940293">
        <w:rPr>
          <w:rFonts w:cs="Arial"/>
          <w:szCs w:val="24"/>
        </w:rPr>
        <w:t xml:space="preserve"> reduced in comparison </w:t>
      </w:r>
      <w:r w:rsidR="00940293" w:rsidRPr="00940293">
        <w:rPr>
          <w:rFonts w:cs="Arial"/>
          <w:szCs w:val="24"/>
        </w:rPr>
        <w:t>to 2015/16</w:t>
      </w:r>
      <w:r w:rsidRPr="00940293">
        <w:rPr>
          <w:rFonts w:cs="Arial"/>
          <w:szCs w:val="24"/>
        </w:rPr>
        <w:t xml:space="preserve"> rates</w:t>
      </w:r>
      <w:r w:rsidR="00F11122" w:rsidRPr="00940293">
        <w:rPr>
          <w:rFonts w:cs="Arial"/>
          <w:szCs w:val="24"/>
        </w:rPr>
        <w:t xml:space="preserve"> because of data variations</w:t>
      </w:r>
      <w:r w:rsidRPr="00940293">
        <w:rPr>
          <w:rFonts w:cs="Arial"/>
          <w:szCs w:val="24"/>
        </w:rPr>
        <w:t>.</w:t>
      </w:r>
      <w:r w:rsidRPr="00D924CC">
        <w:rPr>
          <w:rFonts w:cs="Arial"/>
          <w:szCs w:val="24"/>
        </w:rPr>
        <w:t xml:space="preserve"> </w:t>
      </w:r>
    </w:p>
    <w:p w14:paraId="7110D68D" w14:textId="77777777" w:rsidR="00F11122" w:rsidRDefault="00F11122" w:rsidP="00D924CC">
      <w:pPr>
        <w:pStyle w:val="Header"/>
        <w:jc w:val="both"/>
        <w:rPr>
          <w:rFonts w:cs="Arial"/>
          <w:szCs w:val="24"/>
        </w:rPr>
      </w:pPr>
    </w:p>
    <w:p w14:paraId="2E03E3D9" w14:textId="77777777" w:rsidR="00F95898" w:rsidRPr="00D924CC" w:rsidRDefault="00F95898" w:rsidP="00D924CC">
      <w:pPr>
        <w:pStyle w:val="Header"/>
        <w:jc w:val="both"/>
        <w:rPr>
          <w:rFonts w:cs="Arial"/>
          <w:szCs w:val="24"/>
        </w:rPr>
      </w:pPr>
      <w:r w:rsidRPr="00D924CC">
        <w:rPr>
          <w:rFonts w:cs="Arial"/>
          <w:szCs w:val="24"/>
        </w:rPr>
        <w:t>The table below shows those reductions.</w:t>
      </w:r>
      <w:r w:rsidR="00F11122">
        <w:rPr>
          <w:rFonts w:cs="Arial"/>
          <w:szCs w:val="24"/>
        </w:rPr>
        <w:t xml:space="preserve">  The reduction in the basic entitlement is the result of the removal of a one-off allocation of </w:t>
      </w:r>
      <w:r w:rsidR="00F11122" w:rsidRPr="00940293">
        <w:rPr>
          <w:rFonts w:cs="Arial"/>
          <w:szCs w:val="24"/>
        </w:rPr>
        <w:t xml:space="preserve">reserves in </w:t>
      </w:r>
      <w:r w:rsidR="00940293" w:rsidRPr="00940293">
        <w:rPr>
          <w:rFonts w:cs="Arial"/>
          <w:szCs w:val="24"/>
        </w:rPr>
        <w:t>2015/16</w:t>
      </w:r>
      <w:r w:rsidR="00F11122" w:rsidRPr="00940293">
        <w:rPr>
          <w:rFonts w:cs="Arial"/>
          <w:szCs w:val="24"/>
        </w:rPr>
        <w:t>.</w:t>
      </w:r>
    </w:p>
    <w:p w14:paraId="106599C0" w14:textId="77777777" w:rsidR="00F11122" w:rsidRPr="00D924CC" w:rsidRDefault="00F11122" w:rsidP="00D924CC">
      <w:pPr>
        <w:pStyle w:val="Header"/>
        <w:jc w:val="both"/>
        <w:rPr>
          <w:rFonts w:cs="Arial"/>
          <w:szCs w:val="24"/>
        </w:rPr>
      </w:pPr>
    </w:p>
    <w:p w14:paraId="24C8107A" w14:textId="77777777" w:rsidR="00EC03A9" w:rsidRPr="00D924CC" w:rsidRDefault="00AD6C1E" w:rsidP="00D924CC">
      <w:pPr>
        <w:pStyle w:val="Header"/>
        <w:jc w:val="both"/>
        <w:rPr>
          <w:rFonts w:cs="Arial"/>
          <w:b/>
          <w:szCs w:val="24"/>
          <w:u w:val="single"/>
        </w:rPr>
      </w:pPr>
      <w:r w:rsidRPr="00D924CC">
        <w:rPr>
          <w:rFonts w:cs="Arial"/>
          <w:b/>
          <w:szCs w:val="24"/>
          <w:u w:val="single"/>
        </w:rPr>
        <w:t>Schools Block Budget funding rate changes</w:t>
      </w:r>
    </w:p>
    <w:p w14:paraId="2A2CD4DD" w14:textId="77777777" w:rsidR="00EC03A9" w:rsidRPr="00D924CC" w:rsidRDefault="00EC03A9" w:rsidP="00D924CC">
      <w:pPr>
        <w:pStyle w:val="Header"/>
        <w:jc w:val="both"/>
        <w:rPr>
          <w:rFonts w:cs="Arial"/>
          <w:szCs w:val="24"/>
        </w:rPr>
      </w:pPr>
    </w:p>
    <w:tbl>
      <w:tblPr>
        <w:tblStyle w:val="TableGrid"/>
        <w:tblW w:w="0" w:type="auto"/>
        <w:tblLook w:val="04A0" w:firstRow="1" w:lastRow="0" w:firstColumn="1" w:lastColumn="0" w:noHBand="0" w:noVBand="1"/>
      </w:tblPr>
      <w:tblGrid>
        <w:gridCol w:w="2660"/>
        <w:gridCol w:w="1559"/>
        <w:gridCol w:w="1364"/>
      </w:tblGrid>
      <w:tr w:rsidR="00940293" w:rsidRPr="00940293" w14:paraId="366B8FE5" w14:textId="77777777" w:rsidTr="007E3DBA">
        <w:trPr>
          <w:trHeight w:val="300"/>
        </w:trPr>
        <w:tc>
          <w:tcPr>
            <w:tcW w:w="2660" w:type="dxa"/>
            <w:noWrap/>
            <w:hideMark/>
          </w:tcPr>
          <w:p w14:paraId="14EEF323" w14:textId="77777777" w:rsidR="00940293" w:rsidRPr="00940293" w:rsidRDefault="00940293" w:rsidP="00940293">
            <w:pPr>
              <w:jc w:val="both"/>
              <w:rPr>
                <w:rFonts w:ascii="Arial" w:hAnsi="Arial" w:cs="Arial"/>
                <w:sz w:val="24"/>
              </w:rPr>
            </w:pPr>
          </w:p>
        </w:tc>
        <w:tc>
          <w:tcPr>
            <w:tcW w:w="1559" w:type="dxa"/>
            <w:noWrap/>
            <w:hideMark/>
          </w:tcPr>
          <w:p w14:paraId="2DF238D1" w14:textId="77777777" w:rsidR="00940293" w:rsidRPr="00940293" w:rsidRDefault="00940293" w:rsidP="00940293">
            <w:pPr>
              <w:jc w:val="both"/>
              <w:rPr>
                <w:rFonts w:ascii="Arial" w:hAnsi="Arial" w:cs="Arial"/>
                <w:sz w:val="24"/>
              </w:rPr>
            </w:pPr>
            <w:r w:rsidRPr="00940293">
              <w:rPr>
                <w:rFonts w:ascii="Arial" w:hAnsi="Arial" w:cs="Arial"/>
                <w:sz w:val="24"/>
              </w:rPr>
              <w:t>Primary</w:t>
            </w:r>
          </w:p>
        </w:tc>
        <w:tc>
          <w:tcPr>
            <w:tcW w:w="1364" w:type="dxa"/>
            <w:noWrap/>
            <w:hideMark/>
          </w:tcPr>
          <w:p w14:paraId="407A7F1F" w14:textId="77777777" w:rsidR="00940293" w:rsidRPr="00940293" w:rsidRDefault="00940293" w:rsidP="00940293">
            <w:pPr>
              <w:jc w:val="both"/>
              <w:rPr>
                <w:rFonts w:ascii="Arial" w:hAnsi="Arial" w:cs="Arial"/>
                <w:sz w:val="24"/>
              </w:rPr>
            </w:pPr>
            <w:r w:rsidRPr="00940293">
              <w:rPr>
                <w:rFonts w:ascii="Arial" w:hAnsi="Arial" w:cs="Arial"/>
                <w:sz w:val="24"/>
              </w:rPr>
              <w:t>Secondary</w:t>
            </w:r>
          </w:p>
        </w:tc>
      </w:tr>
      <w:tr w:rsidR="00940293" w:rsidRPr="00940293" w14:paraId="51FFAD42" w14:textId="77777777" w:rsidTr="007E3DBA">
        <w:trPr>
          <w:trHeight w:val="300"/>
        </w:trPr>
        <w:tc>
          <w:tcPr>
            <w:tcW w:w="2660" w:type="dxa"/>
            <w:noWrap/>
            <w:hideMark/>
          </w:tcPr>
          <w:p w14:paraId="577C108B" w14:textId="77777777" w:rsidR="00940293" w:rsidRPr="00940293" w:rsidRDefault="00940293" w:rsidP="00940293">
            <w:pPr>
              <w:jc w:val="right"/>
              <w:rPr>
                <w:rFonts w:ascii="Arial" w:hAnsi="Arial" w:cs="Arial"/>
                <w:sz w:val="24"/>
              </w:rPr>
            </w:pPr>
          </w:p>
        </w:tc>
        <w:tc>
          <w:tcPr>
            <w:tcW w:w="1559" w:type="dxa"/>
            <w:noWrap/>
            <w:hideMark/>
          </w:tcPr>
          <w:p w14:paraId="4D9381DB" w14:textId="77777777" w:rsidR="00940293" w:rsidRPr="00940293" w:rsidRDefault="00940293" w:rsidP="00940293">
            <w:pPr>
              <w:jc w:val="right"/>
              <w:rPr>
                <w:rFonts w:ascii="Arial" w:hAnsi="Arial" w:cs="Arial"/>
                <w:sz w:val="24"/>
              </w:rPr>
            </w:pPr>
            <w:r w:rsidRPr="00940293">
              <w:rPr>
                <w:rFonts w:ascii="Arial" w:hAnsi="Arial" w:cs="Arial"/>
                <w:sz w:val="24"/>
              </w:rPr>
              <w:t xml:space="preserve">£'s  </w:t>
            </w:r>
          </w:p>
        </w:tc>
        <w:tc>
          <w:tcPr>
            <w:tcW w:w="1364" w:type="dxa"/>
            <w:noWrap/>
            <w:hideMark/>
          </w:tcPr>
          <w:p w14:paraId="2EE994D6" w14:textId="77777777" w:rsidR="00940293" w:rsidRPr="00940293" w:rsidRDefault="00940293" w:rsidP="00940293">
            <w:pPr>
              <w:jc w:val="right"/>
              <w:rPr>
                <w:rFonts w:ascii="Arial" w:hAnsi="Arial" w:cs="Arial"/>
                <w:sz w:val="24"/>
              </w:rPr>
            </w:pPr>
            <w:r w:rsidRPr="00940293">
              <w:rPr>
                <w:rFonts w:ascii="Arial" w:hAnsi="Arial" w:cs="Arial"/>
                <w:sz w:val="24"/>
              </w:rPr>
              <w:t xml:space="preserve">£'s  </w:t>
            </w:r>
          </w:p>
        </w:tc>
      </w:tr>
      <w:tr w:rsidR="00940293" w:rsidRPr="00940293" w14:paraId="595D85E7" w14:textId="77777777" w:rsidTr="007E3DBA">
        <w:trPr>
          <w:trHeight w:val="300"/>
        </w:trPr>
        <w:tc>
          <w:tcPr>
            <w:tcW w:w="2660" w:type="dxa"/>
            <w:noWrap/>
            <w:hideMark/>
          </w:tcPr>
          <w:p w14:paraId="58A69CCF" w14:textId="77777777" w:rsidR="00940293" w:rsidRPr="00940293" w:rsidRDefault="00940293" w:rsidP="00940293">
            <w:pPr>
              <w:jc w:val="both"/>
              <w:rPr>
                <w:rFonts w:ascii="Arial" w:hAnsi="Arial" w:cs="Arial"/>
                <w:sz w:val="24"/>
              </w:rPr>
            </w:pPr>
            <w:r w:rsidRPr="00940293">
              <w:rPr>
                <w:rFonts w:ascii="Arial" w:hAnsi="Arial" w:cs="Arial"/>
                <w:sz w:val="24"/>
              </w:rPr>
              <w:t>Basic Entitlement</w:t>
            </w:r>
          </w:p>
        </w:tc>
        <w:tc>
          <w:tcPr>
            <w:tcW w:w="1559" w:type="dxa"/>
            <w:noWrap/>
            <w:hideMark/>
          </w:tcPr>
          <w:p w14:paraId="0ADA9741" w14:textId="77777777" w:rsidR="00940293" w:rsidRPr="00940293" w:rsidRDefault="00940293" w:rsidP="00940293">
            <w:pPr>
              <w:jc w:val="right"/>
              <w:rPr>
                <w:rFonts w:ascii="Arial" w:hAnsi="Arial" w:cs="Arial"/>
                <w:sz w:val="24"/>
              </w:rPr>
            </w:pPr>
            <w:r w:rsidRPr="00940293">
              <w:rPr>
                <w:rFonts w:ascii="Arial" w:hAnsi="Arial" w:cs="Arial"/>
                <w:sz w:val="24"/>
              </w:rPr>
              <w:t>(39.97)</w:t>
            </w:r>
          </w:p>
        </w:tc>
        <w:tc>
          <w:tcPr>
            <w:tcW w:w="1364" w:type="dxa"/>
            <w:noWrap/>
            <w:hideMark/>
          </w:tcPr>
          <w:p w14:paraId="7EE95B39" w14:textId="6F7B9296" w:rsidR="00940293" w:rsidRPr="00940293" w:rsidRDefault="00940293" w:rsidP="00940293">
            <w:pPr>
              <w:jc w:val="right"/>
              <w:rPr>
                <w:rFonts w:ascii="Arial" w:hAnsi="Arial" w:cs="Arial"/>
                <w:sz w:val="24"/>
              </w:rPr>
            </w:pPr>
            <w:r w:rsidRPr="00940293">
              <w:rPr>
                <w:rFonts w:ascii="Arial" w:hAnsi="Arial" w:cs="Arial"/>
                <w:sz w:val="24"/>
              </w:rPr>
              <w:t>(</w:t>
            </w:r>
            <w:r w:rsidR="004B7E1B">
              <w:rPr>
                <w:rFonts w:ascii="Arial" w:hAnsi="Arial" w:cs="Arial"/>
                <w:sz w:val="24"/>
              </w:rPr>
              <w:t>52.13</w:t>
            </w:r>
            <w:r w:rsidRPr="00940293">
              <w:rPr>
                <w:rFonts w:ascii="Arial" w:hAnsi="Arial" w:cs="Arial"/>
                <w:sz w:val="24"/>
              </w:rPr>
              <w:t>)</w:t>
            </w:r>
          </w:p>
        </w:tc>
      </w:tr>
      <w:tr w:rsidR="00940293" w:rsidRPr="00940293" w14:paraId="5E90D537" w14:textId="77777777" w:rsidTr="007E3DBA">
        <w:trPr>
          <w:trHeight w:val="300"/>
        </w:trPr>
        <w:tc>
          <w:tcPr>
            <w:tcW w:w="2660" w:type="dxa"/>
            <w:noWrap/>
            <w:hideMark/>
          </w:tcPr>
          <w:p w14:paraId="73E6D3D8" w14:textId="77777777" w:rsidR="00940293" w:rsidRPr="00940293" w:rsidRDefault="00940293" w:rsidP="00940293">
            <w:pPr>
              <w:jc w:val="both"/>
              <w:rPr>
                <w:rFonts w:ascii="Arial" w:hAnsi="Arial" w:cs="Arial"/>
                <w:sz w:val="24"/>
              </w:rPr>
            </w:pPr>
            <w:r w:rsidRPr="00940293">
              <w:rPr>
                <w:rFonts w:ascii="Arial" w:hAnsi="Arial" w:cs="Arial"/>
                <w:sz w:val="24"/>
              </w:rPr>
              <w:t>Lump Sum</w:t>
            </w:r>
          </w:p>
        </w:tc>
        <w:tc>
          <w:tcPr>
            <w:tcW w:w="1559" w:type="dxa"/>
            <w:noWrap/>
            <w:hideMark/>
          </w:tcPr>
          <w:p w14:paraId="7959F901" w14:textId="77777777" w:rsidR="00940293" w:rsidRPr="00940293" w:rsidRDefault="00940293" w:rsidP="00940293">
            <w:pPr>
              <w:jc w:val="right"/>
              <w:rPr>
                <w:rFonts w:ascii="Arial" w:hAnsi="Arial" w:cs="Arial"/>
                <w:sz w:val="24"/>
              </w:rPr>
            </w:pPr>
            <w:r>
              <w:rPr>
                <w:rFonts w:ascii="Arial" w:hAnsi="Arial" w:cs="Arial"/>
                <w:sz w:val="24"/>
              </w:rPr>
              <w:t>0</w:t>
            </w:r>
          </w:p>
        </w:tc>
        <w:tc>
          <w:tcPr>
            <w:tcW w:w="1364" w:type="dxa"/>
            <w:noWrap/>
            <w:hideMark/>
          </w:tcPr>
          <w:p w14:paraId="0BB29F2A" w14:textId="77777777" w:rsidR="00940293" w:rsidRPr="00940293" w:rsidRDefault="00940293" w:rsidP="00940293">
            <w:pPr>
              <w:jc w:val="right"/>
              <w:rPr>
                <w:rFonts w:ascii="Arial" w:hAnsi="Arial" w:cs="Arial"/>
                <w:sz w:val="24"/>
              </w:rPr>
            </w:pPr>
            <w:r>
              <w:rPr>
                <w:rFonts w:ascii="Arial" w:hAnsi="Arial" w:cs="Arial"/>
                <w:sz w:val="24"/>
              </w:rPr>
              <w:t>0</w:t>
            </w:r>
          </w:p>
        </w:tc>
      </w:tr>
      <w:tr w:rsidR="00940293" w:rsidRPr="00940293" w14:paraId="0352B8FF" w14:textId="77777777" w:rsidTr="007E3DBA">
        <w:trPr>
          <w:trHeight w:val="300"/>
        </w:trPr>
        <w:tc>
          <w:tcPr>
            <w:tcW w:w="2660" w:type="dxa"/>
            <w:noWrap/>
            <w:hideMark/>
          </w:tcPr>
          <w:p w14:paraId="75507957" w14:textId="77777777" w:rsidR="00940293" w:rsidRPr="00940293" w:rsidRDefault="00940293" w:rsidP="00940293">
            <w:pPr>
              <w:jc w:val="both"/>
              <w:rPr>
                <w:rFonts w:ascii="Arial" w:hAnsi="Arial" w:cs="Arial"/>
                <w:sz w:val="24"/>
              </w:rPr>
            </w:pPr>
            <w:r w:rsidRPr="00940293">
              <w:rPr>
                <w:rFonts w:ascii="Arial" w:hAnsi="Arial" w:cs="Arial"/>
                <w:sz w:val="24"/>
              </w:rPr>
              <w:t>Split Site</w:t>
            </w:r>
          </w:p>
        </w:tc>
        <w:tc>
          <w:tcPr>
            <w:tcW w:w="1559" w:type="dxa"/>
            <w:noWrap/>
            <w:hideMark/>
          </w:tcPr>
          <w:p w14:paraId="2B4C010F" w14:textId="77777777" w:rsidR="00940293" w:rsidRPr="00940293" w:rsidRDefault="00940293" w:rsidP="00940293">
            <w:pPr>
              <w:jc w:val="right"/>
              <w:rPr>
                <w:rFonts w:ascii="Arial" w:hAnsi="Arial" w:cs="Arial"/>
                <w:sz w:val="24"/>
              </w:rPr>
            </w:pPr>
            <w:r>
              <w:rPr>
                <w:rFonts w:ascii="Arial" w:hAnsi="Arial" w:cs="Arial"/>
                <w:sz w:val="24"/>
              </w:rPr>
              <w:t>0</w:t>
            </w:r>
          </w:p>
        </w:tc>
        <w:tc>
          <w:tcPr>
            <w:tcW w:w="1364" w:type="dxa"/>
            <w:noWrap/>
            <w:hideMark/>
          </w:tcPr>
          <w:p w14:paraId="1DD15912" w14:textId="77777777" w:rsidR="00940293" w:rsidRPr="00940293" w:rsidRDefault="00940293" w:rsidP="00940293">
            <w:pPr>
              <w:jc w:val="right"/>
              <w:rPr>
                <w:rFonts w:ascii="Arial" w:hAnsi="Arial" w:cs="Arial"/>
                <w:sz w:val="24"/>
              </w:rPr>
            </w:pPr>
            <w:r>
              <w:rPr>
                <w:rFonts w:ascii="Arial" w:hAnsi="Arial" w:cs="Arial"/>
                <w:sz w:val="24"/>
              </w:rPr>
              <w:t>0</w:t>
            </w:r>
          </w:p>
        </w:tc>
      </w:tr>
      <w:tr w:rsidR="00940293" w:rsidRPr="00940293" w14:paraId="33195A4D" w14:textId="77777777" w:rsidTr="007E3DBA">
        <w:trPr>
          <w:trHeight w:val="300"/>
        </w:trPr>
        <w:tc>
          <w:tcPr>
            <w:tcW w:w="2660" w:type="dxa"/>
            <w:noWrap/>
            <w:hideMark/>
          </w:tcPr>
          <w:p w14:paraId="178FBD9F" w14:textId="77777777" w:rsidR="00940293" w:rsidRPr="00940293" w:rsidRDefault="00940293" w:rsidP="00940293">
            <w:pPr>
              <w:jc w:val="both"/>
              <w:rPr>
                <w:rFonts w:ascii="Arial" w:hAnsi="Arial" w:cs="Arial"/>
                <w:sz w:val="24"/>
              </w:rPr>
            </w:pPr>
            <w:r w:rsidRPr="00940293">
              <w:rPr>
                <w:rFonts w:ascii="Arial" w:hAnsi="Arial" w:cs="Arial"/>
                <w:sz w:val="24"/>
              </w:rPr>
              <w:t>Rates</w:t>
            </w:r>
          </w:p>
        </w:tc>
        <w:tc>
          <w:tcPr>
            <w:tcW w:w="1559" w:type="dxa"/>
            <w:noWrap/>
            <w:hideMark/>
          </w:tcPr>
          <w:p w14:paraId="006A2BF9" w14:textId="77777777" w:rsidR="00940293" w:rsidRPr="00940293" w:rsidRDefault="00940293" w:rsidP="00940293">
            <w:pPr>
              <w:jc w:val="right"/>
              <w:rPr>
                <w:rFonts w:ascii="Arial" w:hAnsi="Arial" w:cs="Arial"/>
                <w:sz w:val="24"/>
              </w:rPr>
            </w:pPr>
            <w:r>
              <w:rPr>
                <w:rFonts w:ascii="Arial" w:hAnsi="Arial" w:cs="Arial"/>
                <w:sz w:val="24"/>
              </w:rPr>
              <w:t>0</w:t>
            </w:r>
          </w:p>
        </w:tc>
        <w:tc>
          <w:tcPr>
            <w:tcW w:w="1364" w:type="dxa"/>
            <w:noWrap/>
            <w:hideMark/>
          </w:tcPr>
          <w:p w14:paraId="0425A436" w14:textId="77777777" w:rsidR="00940293" w:rsidRPr="00940293" w:rsidRDefault="00940293" w:rsidP="00940293">
            <w:pPr>
              <w:jc w:val="right"/>
              <w:rPr>
                <w:rFonts w:ascii="Arial" w:hAnsi="Arial" w:cs="Arial"/>
                <w:sz w:val="24"/>
              </w:rPr>
            </w:pPr>
            <w:r>
              <w:rPr>
                <w:rFonts w:ascii="Arial" w:hAnsi="Arial" w:cs="Arial"/>
                <w:sz w:val="24"/>
              </w:rPr>
              <w:t>0</w:t>
            </w:r>
          </w:p>
        </w:tc>
      </w:tr>
      <w:tr w:rsidR="00940293" w:rsidRPr="00940293" w14:paraId="517C2FBD" w14:textId="77777777" w:rsidTr="007E3DBA">
        <w:trPr>
          <w:trHeight w:val="300"/>
        </w:trPr>
        <w:tc>
          <w:tcPr>
            <w:tcW w:w="2660" w:type="dxa"/>
            <w:noWrap/>
            <w:hideMark/>
          </w:tcPr>
          <w:p w14:paraId="6EAA0129" w14:textId="77777777" w:rsidR="00940293" w:rsidRPr="00940293" w:rsidRDefault="00940293" w:rsidP="00940293">
            <w:pPr>
              <w:jc w:val="both"/>
              <w:rPr>
                <w:rFonts w:ascii="Arial" w:hAnsi="Arial" w:cs="Arial"/>
                <w:sz w:val="24"/>
              </w:rPr>
            </w:pPr>
            <w:r w:rsidRPr="00940293">
              <w:rPr>
                <w:rFonts w:ascii="Arial" w:hAnsi="Arial" w:cs="Arial"/>
                <w:sz w:val="24"/>
              </w:rPr>
              <w:t>PFI</w:t>
            </w:r>
          </w:p>
        </w:tc>
        <w:tc>
          <w:tcPr>
            <w:tcW w:w="1559" w:type="dxa"/>
            <w:noWrap/>
            <w:hideMark/>
          </w:tcPr>
          <w:p w14:paraId="0AFB83DC" w14:textId="77777777" w:rsidR="00940293" w:rsidRPr="00940293" w:rsidRDefault="00940293" w:rsidP="00940293">
            <w:pPr>
              <w:jc w:val="right"/>
              <w:rPr>
                <w:rFonts w:ascii="Arial" w:hAnsi="Arial" w:cs="Arial"/>
                <w:sz w:val="24"/>
              </w:rPr>
            </w:pPr>
            <w:r>
              <w:rPr>
                <w:rFonts w:ascii="Arial" w:hAnsi="Arial" w:cs="Arial"/>
                <w:sz w:val="24"/>
              </w:rPr>
              <w:t>0</w:t>
            </w:r>
          </w:p>
        </w:tc>
        <w:tc>
          <w:tcPr>
            <w:tcW w:w="1364" w:type="dxa"/>
            <w:noWrap/>
            <w:hideMark/>
          </w:tcPr>
          <w:p w14:paraId="6DFE57D3" w14:textId="77777777" w:rsidR="00940293" w:rsidRPr="00940293" w:rsidRDefault="00940293" w:rsidP="00940293">
            <w:pPr>
              <w:jc w:val="right"/>
              <w:rPr>
                <w:rFonts w:ascii="Arial" w:hAnsi="Arial" w:cs="Arial"/>
                <w:sz w:val="24"/>
              </w:rPr>
            </w:pPr>
            <w:r>
              <w:rPr>
                <w:rFonts w:ascii="Arial" w:hAnsi="Arial" w:cs="Arial"/>
                <w:sz w:val="24"/>
              </w:rPr>
              <w:t>0</w:t>
            </w:r>
          </w:p>
        </w:tc>
      </w:tr>
      <w:tr w:rsidR="00940293" w:rsidRPr="00940293" w14:paraId="541514AD" w14:textId="77777777" w:rsidTr="007E3DBA">
        <w:trPr>
          <w:trHeight w:val="300"/>
        </w:trPr>
        <w:tc>
          <w:tcPr>
            <w:tcW w:w="2660" w:type="dxa"/>
            <w:noWrap/>
            <w:hideMark/>
          </w:tcPr>
          <w:p w14:paraId="244049B1" w14:textId="77777777" w:rsidR="00940293" w:rsidRPr="00940293" w:rsidRDefault="00940293" w:rsidP="00940293">
            <w:pPr>
              <w:jc w:val="both"/>
              <w:rPr>
                <w:rFonts w:ascii="Arial" w:hAnsi="Arial" w:cs="Arial"/>
                <w:sz w:val="24"/>
              </w:rPr>
            </w:pPr>
            <w:r w:rsidRPr="00940293">
              <w:rPr>
                <w:rFonts w:ascii="Arial" w:hAnsi="Arial" w:cs="Arial"/>
                <w:sz w:val="24"/>
              </w:rPr>
              <w:t>Rents</w:t>
            </w:r>
          </w:p>
        </w:tc>
        <w:tc>
          <w:tcPr>
            <w:tcW w:w="1559" w:type="dxa"/>
            <w:noWrap/>
            <w:hideMark/>
          </w:tcPr>
          <w:p w14:paraId="5157D195" w14:textId="77777777" w:rsidR="00940293" w:rsidRPr="00940293" w:rsidRDefault="00940293" w:rsidP="00940293">
            <w:pPr>
              <w:jc w:val="right"/>
              <w:rPr>
                <w:rFonts w:ascii="Arial" w:hAnsi="Arial" w:cs="Arial"/>
                <w:sz w:val="24"/>
              </w:rPr>
            </w:pPr>
            <w:r>
              <w:rPr>
                <w:rFonts w:ascii="Arial" w:hAnsi="Arial" w:cs="Arial"/>
                <w:sz w:val="24"/>
              </w:rPr>
              <w:t>0</w:t>
            </w:r>
          </w:p>
        </w:tc>
        <w:tc>
          <w:tcPr>
            <w:tcW w:w="1364" w:type="dxa"/>
            <w:noWrap/>
            <w:hideMark/>
          </w:tcPr>
          <w:p w14:paraId="31102981" w14:textId="77777777" w:rsidR="00940293" w:rsidRPr="00940293" w:rsidRDefault="00940293" w:rsidP="00940293">
            <w:pPr>
              <w:jc w:val="right"/>
              <w:rPr>
                <w:rFonts w:ascii="Arial" w:hAnsi="Arial" w:cs="Arial"/>
                <w:sz w:val="24"/>
              </w:rPr>
            </w:pPr>
            <w:r>
              <w:rPr>
                <w:rFonts w:ascii="Arial" w:hAnsi="Arial" w:cs="Arial"/>
                <w:sz w:val="24"/>
              </w:rPr>
              <w:t>0</w:t>
            </w:r>
          </w:p>
        </w:tc>
      </w:tr>
      <w:tr w:rsidR="00940293" w:rsidRPr="00940293" w14:paraId="4721C073" w14:textId="77777777" w:rsidTr="007E3DBA">
        <w:trPr>
          <w:trHeight w:val="300"/>
        </w:trPr>
        <w:tc>
          <w:tcPr>
            <w:tcW w:w="2660" w:type="dxa"/>
            <w:noWrap/>
            <w:hideMark/>
          </w:tcPr>
          <w:p w14:paraId="47C71062" w14:textId="77777777" w:rsidR="00940293" w:rsidRPr="00940293" w:rsidRDefault="00940293" w:rsidP="00940293">
            <w:pPr>
              <w:jc w:val="both"/>
              <w:rPr>
                <w:rFonts w:ascii="Arial" w:hAnsi="Arial" w:cs="Arial"/>
                <w:sz w:val="24"/>
              </w:rPr>
            </w:pPr>
            <w:r w:rsidRPr="00940293">
              <w:rPr>
                <w:rFonts w:ascii="Arial" w:hAnsi="Arial" w:cs="Arial"/>
                <w:sz w:val="24"/>
              </w:rPr>
              <w:t>6th Form DSG</w:t>
            </w:r>
          </w:p>
        </w:tc>
        <w:tc>
          <w:tcPr>
            <w:tcW w:w="1559" w:type="dxa"/>
            <w:noWrap/>
            <w:hideMark/>
          </w:tcPr>
          <w:p w14:paraId="3ACC49C8" w14:textId="77777777" w:rsidR="00940293" w:rsidRPr="00940293" w:rsidRDefault="00940293" w:rsidP="00940293">
            <w:pPr>
              <w:jc w:val="right"/>
              <w:rPr>
                <w:rFonts w:ascii="Arial" w:hAnsi="Arial" w:cs="Arial"/>
                <w:sz w:val="24"/>
              </w:rPr>
            </w:pPr>
            <w:r>
              <w:rPr>
                <w:rFonts w:ascii="Arial" w:hAnsi="Arial" w:cs="Arial"/>
                <w:sz w:val="24"/>
              </w:rPr>
              <w:t>0</w:t>
            </w:r>
          </w:p>
        </w:tc>
        <w:tc>
          <w:tcPr>
            <w:tcW w:w="1364" w:type="dxa"/>
            <w:noWrap/>
            <w:hideMark/>
          </w:tcPr>
          <w:p w14:paraId="4A3750C0" w14:textId="77777777" w:rsidR="00940293" w:rsidRPr="00940293" w:rsidRDefault="00940293" w:rsidP="00940293">
            <w:pPr>
              <w:jc w:val="right"/>
              <w:rPr>
                <w:rFonts w:ascii="Arial" w:hAnsi="Arial" w:cs="Arial"/>
                <w:sz w:val="24"/>
              </w:rPr>
            </w:pPr>
            <w:r>
              <w:rPr>
                <w:rFonts w:ascii="Arial" w:hAnsi="Arial" w:cs="Arial"/>
                <w:sz w:val="24"/>
              </w:rPr>
              <w:t>0</w:t>
            </w:r>
          </w:p>
        </w:tc>
      </w:tr>
      <w:tr w:rsidR="00940293" w:rsidRPr="00940293" w14:paraId="7A3D73D0" w14:textId="77777777" w:rsidTr="007E3DBA">
        <w:trPr>
          <w:trHeight w:val="300"/>
        </w:trPr>
        <w:tc>
          <w:tcPr>
            <w:tcW w:w="2660" w:type="dxa"/>
            <w:noWrap/>
            <w:hideMark/>
          </w:tcPr>
          <w:p w14:paraId="74E0C86D" w14:textId="77777777" w:rsidR="00940293" w:rsidRPr="00940293" w:rsidRDefault="00940293" w:rsidP="00940293">
            <w:pPr>
              <w:jc w:val="both"/>
              <w:rPr>
                <w:rFonts w:ascii="Arial" w:hAnsi="Arial" w:cs="Arial"/>
                <w:sz w:val="24"/>
              </w:rPr>
            </w:pPr>
            <w:r w:rsidRPr="00940293">
              <w:rPr>
                <w:rFonts w:ascii="Arial" w:hAnsi="Arial" w:cs="Arial"/>
                <w:sz w:val="24"/>
              </w:rPr>
              <w:t>Prior Attainment</w:t>
            </w:r>
          </w:p>
        </w:tc>
        <w:tc>
          <w:tcPr>
            <w:tcW w:w="1559" w:type="dxa"/>
            <w:noWrap/>
            <w:hideMark/>
          </w:tcPr>
          <w:p w14:paraId="6E75F6D4" w14:textId="77777777" w:rsidR="00940293" w:rsidRPr="00940293" w:rsidRDefault="007E3DBA" w:rsidP="00940293">
            <w:pPr>
              <w:jc w:val="right"/>
              <w:rPr>
                <w:rFonts w:ascii="Arial" w:hAnsi="Arial" w:cs="Arial"/>
                <w:sz w:val="24"/>
              </w:rPr>
            </w:pPr>
            <w:r>
              <w:rPr>
                <w:rFonts w:ascii="Arial" w:hAnsi="Arial" w:cs="Arial"/>
                <w:sz w:val="24"/>
              </w:rPr>
              <w:t>0)</w:t>
            </w:r>
          </w:p>
        </w:tc>
        <w:tc>
          <w:tcPr>
            <w:tcW w:w="1364" w:type="dxa"/>
            <w:noWrap/>
            <w:hideMark/>
          </w:tcPr>
          <w:p w14:paraId="3E8B1F52" w14:textId="77777777" w:rsidR="00940293" w:rsidRPr="00940293" w:rsidRDefault="007E3DBA" w:rsidP="00940293">
            <w:pPr>
              <w:jc w:val="right"/>
              <w:rPr>
                <w:rFonts w:ascii="Arial" w:hAnsi="Arial" w:cs="Arial"/>
                <w:sz w:val="24"/>
              </w:rPr>
            </w:pPr>
            <w:r>
              <w:rPr>
                <w:rFonts w:ascii="Arial" w:hAnsi="Arial" w:cs="Arial"/>
                <w:sz w:val="24"/>
              </w:rPr>
              <w:t>0</w:t>
            </w:r>
          </w:p>
        </w:tc>
      </w:tr>
      <w:tr w:rsidR="00940293" w:rsidRPr="00940293" w14:paraId="4880C3DD" w14:textId="77777777" w:rsidTr="007E3DBA">
        <w:trPr>
          <w:trHeight w:val="300"/>
        </w:trPr>
        <w:tc>
          <w:tcPr>
            <w:tcW w:w="2660" w:type="dxa"/>
            <w:noWrap/>
            <w:hideMark/>
          </w:tcPr>
          <w:p w14:paraId="2290E967" w14:textId="77777777" w:rsidR="00940293" w:rsidRPr="00940293" w:rsidRDefault="00940293" w:rsidP="00940293">
            <w:pPr>
              <w:jc w:val="both"/>
              <w:rPr>
                <w:rFonts w:ascii="Arial" w:hAnsi="Arial" w:cs="Arial"/>
                <w:sz w:val="24"/>
              </w:rPr>
            </w:pPr>
            <w:r w:rsidRPr="00940293">
              <w:rPr>
                <w:rFonts w:ascii="Arial" w:hAnsi="Arial" w:cs="Arial"/>
                <w:sz w:val="24"/>
              </w:rPr>
              <w:t>EAL</w:t>
            </w:r>
          </w:p>
        </w:tc>
        <w:tc>
          <w:tcPr>
            <w:tcW w:w="1559" w:type="dxa"/>
            <w:noWrap/>
            <w:hideMark/>
          </w:tcPr>
          <w:p w14:paraId="2C56CB31" w14:textId="77777777" w:rsidR="00940293" w:rsidRPr="00940293" w:rsidRDefault="007E3DBA" w:rsidP="00940293">
            <w:pPr>
              <w:jc w:val="right"/>
              <w:rPr>
                <w:rFonts w:ascii="Arial" w:hAnsi="Arial" w:cs="Arial"/>
                <w:sz w:val="24"/>
              </w:rPr>
            </w:pPr>
            <w:r>
              <w:rPr>
                <w:rFonts w:ascii="Arial" w:hAnsi="Arial" w:cs="Arial"/>
                <w:sz w:val="24"/>
              </w:rPr>
              <w:t>(13.28)</w:t>
            </w:r>
          </w:p>
        </w:tc>
        <w:tc>
          <w:tcPr>
            <w:tcW w:w="1364" w:type="dxa"/>
            <w:noWrap/>
            <w:hideMark/>
          </w:tcPr>
          <w:p w14:paraId="18BDE82D" w14:textId="77777777" w:rsidR="00940293" w:rsidRPr="00940293" w:rsidRDefault="007E3DBA" w:rsidP="00940293">
            <w:pPr>
              <w:jc w:val="right"/>
              <w:rPr>
                <w:rFonts w:ascii="Arial" w:hAnsi="Arial" w:cs="Arial"/>
                <w:sz w:val="24"/>
              </w:rPr>
            </w:pPr>
            <w:r>
              <w:rPr>
                <w:rFonts w:ascii="Arial" w:hAnsi="Arial" w:cs="Arial"/>
                <w:sz w:val="24"/>
              </w:rPr>
              <w:t>(19.32)</w:t>
            </w:r>
          </w:p>
        </w:tc>
      </w:tr>
      <w:tr w:rsidR="00940293" w:rsidRPr="00940293" w14:paraId="0040A469" w14:textId="77777777" w:rsidTr="007E3DBA">
        <w:trPr>
          <w:trHeight w:val="300"/>
        </w:trPr>
        <w:tc>
          <w:tcPr>
            <w:tcW w:w="2660" w:type="dxa"/>
            <w:noWrap/>
            <w:hideMark/>
          </w:tcPr>
          <w:p w14:paraId="0EE6D3FF" w14:textId="77777777" w:rsidR="00940293" w:rsidRPr="00940293" w:rsidRDefault="00940293" w:rsidP="00940293">
            <w:pPr>
              <w:jc w:val="both"/>
              <w:rPr>
                <w:rFonts w:ascii="Arial" w:hAnsi="Arial" w:cs="Arial"/>
                <w:sz w:val="24"/>
              </w:rPr>
            </w:pPr>
            <w:r w:rsidRPr="00940293">
              <w:rPr>
                <w:rFonts w:ascii="Arial" w:hAnsi="Arial" w:cs="Arial"/>
                <w:sz w:val="24"/>
              </w:rPr>
              <w:t>CLA</w:t>
            </w:r>
          </w:p>
        </w:tc>
        <w:tc>
          <w:tcPr>
            <w:tcW w:w="1559" w:type="dxa"/>
            <w:noWrap/>
            <w:hideMark/>
          </w:tcPr>
          <w:p w14:paraId="485FA7E4" w14:textId="77777777" w:rsidR="00940293" w:rsidRPr="00940293" w:rsidRDefault="007E3DBA" w:rsidP="00940293">
            <w:pPr>
              <w:jc w:val="right"/>
              <w:rPr>
                <w:rFonts w:ascii="Arial" w:hAnsi="Arial" w:cs="Arial"/>
                <w:sz w:val="24"/>
              </w:rPr>
            </w:pPr>
            <w:r>
              <w:rPr>
                <w:rFonts w:ascii="Arial" w:hAnsi="Arial" w:cs="Arial"/>
                <w:sz w:val="24"/>
              </w:rPr>
              <w:t>(44.89)</w:t>
            </w:r>
          </w:p>
        </w:tc>
        <w:tc>
          <w:tcPr>
            <w:tcW w:w="1364" w:type="dxa"/>
            <w:noWrap/>
            <w:hideMark/>
          </w:tcPr>
          <w:p w14:paraId="18B8AFE5" w14:textId="77777777" w:rsidR="00940293" w:rsidRPr="00940293" w:rsidRDefault="007E3DBA" w:rsidP="00940293">
            <w:pPr>
              <w:jc w:val="right"/>
              <w:rPr>
                <w:rFonts w:ascii="Arial" w:hAnsi="Arial" w:cs="Arial"/>
                <w:sz w:val="24"/>
              </w:rPr>
            </w:pPr>
            <w:r>
              <w:rPr>
                <w:rFonts w:ascii="Arial" w:hAnsi="Arial" w:cs="Arial"/>
                <w:sz w:val="24"/>
              </w:rPr>
              <w:t>(44.89)</w:t>
            </w:r>
          </w:p>
        </w:tc>
      </w:tr>
      <w:tr w:rsidR="00940293" w:rsidRPr="00940293" w14:paraId="0DECDA5B" w14:textId="77777777" w:rsidTr="007E3DBA">
        <w:trPr>
          <w:trHeight w:val="300"/>
        </w:trPr>
        <w:tc>
          <w:tcPr>
            <w:tcW w:w="2660" w:type="dxa"/>
            <w:noWrap/>
            <w:hideMark/>
          </w:tcPr>
          <w:p w14:paraId="4AEFF6CF" w14:textId="77777777" w:rsidR="00940293" w:rsidRPr="00940293" w:rsidRDefault="00940293" w:rsidP="00940293">
            <w:pPr>
              <w:jc w:val="both"/>
              <w:rPr>
                <w:rFonts w:ascii="Arial" w:hAnsi="Arial" w:cs="Arial"/>
                <w:sz w:val="24"/>
              </w:rPr>
            </w:pPr>
            <w:r w:rsidRPr="00940293">
              <w:rPr>
                <w:rFonts w:ascii="Arial" w:hAnsi="Arial" w:cs="Arial"/>
                <w:sz w:val="24"/>
              </w:rPr>
              <w:t>FSM</w:t>
            </w:r>
          </w:p>
        </w:tc>
        <w:tc>
          <w:tcPr>
            <w:tcW w:w="1559" w:type="dxa"/>
            <w:noWrap/>
            <w:hideMark/>
          </w:tcPr>
          <w:p w14:paraId="72DC328C" w14:textId="77777777" w:rsidR="00940293" w:rsidRPr="00940293" w:rsidRDefault="007E3DBA" w:rsidP="00940293">
            <w:pPr>
              <w:jc w:val="right"/>
              <w:rPr>
                <w:rFonts w:ascii="Arial" w:hAnsi="Arial" w:cs="Arial"/>
                <w:sz w:val="24"/>
              </w:rPr>
            </w:pPr>
            <w:r>
              <w:rPr>
                <w:rFonts w:ascii="Arial" w:hAnsi="Arial" w:cs="Arial"/>
                <w:sz w:val="24"/>
              </w:rPr>
              <w:t>(0.51)</w:t>
            </w:r>
          </w:p>
        </w:tc>
        <w:tc>
          <w:tcPr>
            <w:tcW w:w="1364" w:type="dxa"/>
            <w:noWrap/>
            <w:hideMark/>
          </w:tcPr>
          <w:p w14:paraId="048C1ACD" w14:textId="77777777" w:rsidR="00940293" w:rsidRPr="00940293" w:rsidRDefault="007E3DBA" w:rsidP="00940293">
            <w:pPr>
              <w:jc w:val="right"/>
              <w:rPr>
                <w:rFonts w:ascii="Arial" w:hAnsi="Arial" w:cs="Arial"/>
                <w:sz w:val="24"/>
              </w:rPr>
            </w:pPr>
            <w:r>
              <w:rPr>
                <w:rFonts w:ascii="Arial" w:hAnsi="Arial" w:cs="Arial"/>
                <w:sz w:val="24"/>
              </w:rPr>
              <w:t>(19.61)</w:t>
            </w:r>
          </w:p>
        </w:tc>
      </w:tr>
      <w:tr w:rsidR="00940293" w:rsidRPr="00940293" w14:paraId="0DB9E560" w14:textId="77777777" w:rsidTr="007E3DBA">
        <w:trPr>
          <w:trHeight w:val="300"/>
        </w:trPr>
        <w:tc>
          <w:tcPr>
            <w:tcW w:w="2660" w:type="dxa"/>
            <w:noWrap/>
            <w:hideMark/>
          </w:tcPr>
          <w:p w14:paraId="52818B28" w14:textId="77777777" w:rsidR="00940293" w:rsidRPr="00940293" w:rsidRDefault="00940293" w:rsidP="00940293">
            <w:pPr>
              <w:jc w:val="both"/>
              <w:rPr>
                <w:rFonts w:ascii="Arial" w:hAnsi="Arial" w:cs="Arial"/>
                <w:sz w:val="24"/>
              </w:rPr>
            </w:pPr>
            <w:r w:rsidRPr="00940293">
              <w:rPr>
                <w:rFonts w:ascii="Arial" w:hAnsi="Arial" w:cs="Arial"/>
                <w:sz w:val="24"/>
              </w:rPr>
              <w:t>IDACI Band 1</w:t>
            </w:r>
          </w:p>
        </w:tc>
        <w:tc>
          <w:tcPr>
            <w:tcW w:w="1559" w:type="dxa"/>
            <w:noWrap/>
            <w:hideMark/>
          </w:tcPr>
          <w:p w14:paraId="4EC45CEA" w14:textId="77777777" w:rsidR="00940293" w:rsidRPr="00940293" w:rsidRDefault="007E3DBA" w:rsidP="00940293">
            <w:pPr>
              <w:jc w:val="right"/>
              <w:rPr>
                <w:rFonts w:ascii="Arial" w:hAnsi="Arial" w:cs="Arial"/>
                <w:sz w:val="24"/>
              </w:rPr>
            </w:pPr>
            <w:r>
              <w:rPr>
                <w:rFonts w:ascii="Arial" w:hAnsi="Arial" w:cs="Arial"/>
                <w:sz w:val="24"/>
              </w:rPr>
              <w:t>0</w:t>
            </w:r>
          </w:p>
        </w:tc>
        <w:tc>
          <w:tcPr>
            <w:tcW w:w="1364" w:type="dxa"/>
            <w:noWrap/>
            <w:hideMark/>
          </w:tcPr>
          <w:p w14:paraId="5E2D5F9D" w14:textId="77777777" w:rsidR="00940293" w:rsidRPr="00940293" w:rsidRDefault="007E3DBA" w:rsidP="00940293">
            <w:pPr>
              <w:jc w:val="right"/>
              <w:rPr>
                <w:rFonts w:ascii="Arial" w:hAnsi="Arial" w:cs="Arial"/>
                <w:sz w:val="24"/>
              </w:rPr>
            </w:pPr>
            <w:r>
              <w:rPr>
                <w:rFonts w:ascii="Arial" w:hAnsi="Arial" w:cs="Arial"/>
                <w:sz w:val="24"/>
              </w:rPr>
              <w:t>0</w:t>
            </w:r>
          </w:p>
        </w:tc>
      </w:tr>
      <w:tr w:rsidR="00940293" w:rsidRPr="00940293" w14:paraId="10574BF5" w14:textId="77777777" w:rsidTr="007E3DBA">
        <w:trPr>
          <w:trHeight w:val="300"/>
        </w:trPr>
        <w:tc>
          <w:tcPr>
            <w:tcW w:w="2660" w:type="dxa"/>
            <w:noWrap/>
            <w:hideMark/>
          </w:tcPr>
          <w:p w14:paraId="2FA15776" w14:textId="77777777" w:rsidR="00940293" w:rsidRPr="00940293" w:rsidRDefault="00940293" w:rsidP="00940293">
            <w:pPr>
              <w:jc w:val="both"/>
              <w:rPr>
                <w:rFonts w:ascii="Arial" w:hAnsi="Arial" w:cs="Arial"/>
                <w:sz w:val="24"/>
              </w:rPr>
            </w:pPr>
            <w:r w:rsidRPr="00940293">
              <w:rPr>
                <w:rFonts w:ascii="Arial" w:hAnsi="Arial" w:cs="Arial"/>
                <w:sz w:val="24"/>
              </w:rPr>
              <w:t>IDACI Band 2</w:t>
            </w:r>
          </w:p>
        </w:tc>
        <w:tc>
          <w:tcPr>
            <w:tcW w:w="1559" w:type="dxa"/>
            <w:noWrap/>
            <w:hideMark/>
          </w:tcPr>
          <w:p w14:paraId="5BA51D90" w14:textId="77777777" w:rsidR="00940293" w:rsidRPr="00940293" w:rsidRDefault="007E3DBA" w:rsidP="00940293">
            <w:pPr>
              <w:jc w:val="right"/>
              <w:rPr>
                <w:rFonts w:ascii="Arial" w:hAnsi="Arial" w:cs="Arial"/>
                <w:sz w:val="24"/>
              </w:rPr>
            </w:pPr>
            <w:r>
              <w:rPr>
                <w:rFonts w:ascii="Arial" w:hAnsi="Arial" w:cs="Arial"/>
                <w:sz w:val="24"/>
              </w:rPr>
              <w:t>0</w:t>
            </w:r>
          </w:p>
        </w:tc>
        <w:tc>
          <w:tcPr>
            <w:tcW w:w="1364" w:type="dxa"/>
            <w:noWrap/>
            <w:hideMark/>
          </w:tcPr>
          <w:p w14:paraId="686BF307" w14:textId="77777777" w:rsidR="00940293" w:rsidRPr="00940293" w:rsidRDefault="007E3DBA" w:rsidP="00940293">
            <w:pPr>
              <w:jc w:val="right"/>
              <w:rPr>
                <w:rFonts w:ascii="Arial" w:hAnsi="Arial" w:cs="Arial"/>
                <w:sz w:val="24"/>
              </w:rPr>
            </w:pPr>
            <w:r>
              <w:rPr>
                <w:rFonts w:ascii="Arial" w:hAnsi="Arial" w:cs="Arial"/>
                <w:sz w:val="24"/>
              </w:rPr>
              <w:t>0</w:t>
            </w:r>
          </w:p>
        </w:tc>
      </w:tr>
      <w:tr w:rsidR="00940293" w:rsidRPr="00940293" w14:paraId="285A15EA" w14:textId="77777777" w:rsidTr="007E3DBA">
        <w:trPr>
          <w:trHeight w:val="300"/>
        </w:trPr>
        <w:tc>
          <w:tcPr>
            <w:tcW w:w="2660" w:type="dxa"/>
            <w:noWrap/>
            <w:hideMark/>
          </w:tcPr>
          <w:p w14:paraId="0009A583" w14:textId="77777777" w:rsidR="00940293" w:rsidRPr="00940293" w:rsidRDefault="00940293" w:rsidP="00940293">
            <w:pPr>
              <w:jc w:val="both"/>
              <w:rPr>
                <w:rFonts w:ascii="Arial" w:hAnsi="Arial" w:cs="Arial"/>
                <w:sz w:val="24"/>
              </w:rPr>
            </w:pPr>
            <w:r w:rsidRPr="00940293">
              <w:rPr>
                <w:rFonts w:ascii="Arial" w:hAnsi="Arial" w:cs="Arial"/>
                <w:sz w:val="24"/>
              </w:rPr>
              <w:t>IDACI Band 3</w:t>
            </w:r>
          </w:p>
        </w:tc>
        <w:tc>
          <w:tcPr>
            <w:tcW w:w="1559" w:type="dxa"/>
            <w:noWrap/>
            <w:hideMark/>
          </w:tcPr>
          <w:p w14:paraId="0D1F4C37" w14:textId="77777777" w:rsidR="00940293" w:rsidRPr="00940293" w:rsidRDefault="007E3DBA" w:rsidP="00940293">
            <w:pPr>
              <w:jc w:val="right"/>
              <w:rPr>
                <w:rFonts w:ascii="Arial" w:hAnsi="Arial" w:cs="Arial"/>
                <w:sz w:val="24"/>
              </w:rPr>
            </w:pPr>
            <w:r>
              <w:rPr>
                <w:rFonts w:ascii="Arial" w:hAnsi="Arial" w:cs="Arial"/>
                <w:sz w:val="24"/>
              </w:rPr>
              <w:t>0</w:t>
            </w:r>
          </w:p>
        </w:tc>
        <w:tc>
          <w:tcPr>
            <w:tcW w:w="1364" w:type="dxa"/>
            <w:noWrap/>
            <w:hideMark/>
          </w:tcPr>
          <w:p w14:paraId="04BB8140" w14:textId="77777777" w:rsidR="00940293" w:rsidRPr="00940293" w:rsidRDefault="007E3DBA" w:rsidP="00940293">
            <w:pPr>
              <w:jc w:val="right"/>
              <w:rPr>
                <w:rFonts w:ascii="Arial" w:hAnsi="Arial" w:cs="Arial"/>
                <w:sz w:val="24"/>
              </w:rPr>
            </w:pPr>
            <w:r>
              <w:rPr>
                <w:rFonts w:ascii="Arial" w:hAnsi="Arial" w:cs="Arial"/>
                <w:sz w:val="24"/>
              </w:rPr>
              <w:t>0</w:t>
            </w:r>
          </w:p>
        </w:tc>
      </w:tr>
      <w:tr w:rsidR="00940293" w:rsidRPr="00940293" w14:paraId="18B8F51A" w14:textId="77777777" w:rsidTr="007E3DBA">
        <w:trPr>
          <w:trHeight w:val="300"/>
        </w:trPr>
        <w:tc>
          <w:tcPr>
            <w:tcW w:w="2660" w:type="dxa"/>
            <w:noWrap/>
            <w:hideMark/>
          </w:tcPr>
          <w:p w14:paraId="230772FE" w14:textId="77777777" w:rsidR="00940293" w:rsidRPr="00940293" w:rsidRDefault="00940293" w:rsidP="00940293">
            <w:pPr>
              <w:jc w:val="both"/>
              <w:rPr>
                <w:rFonts w:ascii="Arial" w:hAnsi="Arial" w:cs="Arial"/>
                <w:sz w:val="24"/>
              </w:rPr>
            </w:pPr>
            <w:r w:rsidRPr="00940293">
              <w:rPr>
                <w:rFonts w:ascii="Arial" w:hAnsi="Arial" w:cs="Arial"/>
                <w:sz w:val="24"/>
              </w:rPr>
              <w:t>IDACI Band 4</w:t>
            </w:r>
          </w:p>
        </w:tc>
        <w:tc>
          <w:tcPr>
            <w:tcW w:w="1559" w:type="dxa"/>
            <w:noWrap/>
            <w:hideMark/>
          </w:tcPr>
          <w:p w14:paraId="6FD33863" w14:textId="77777777" w:rsidR="00940293" w:rsidRPr="00940293" w:rsidRDefault="007E3DBA" w:rsidP="00940293">
            <w:pPr>
              <w:jc w:val="right"/>
              <w:rPr>
                <w:rFonts w:ascii="Arial" w:hAnsi="Arial" w:cs="Arial"/>
                <w:sz w:val="24"/>
              </w:rPr>
            </w:pPr>
            <w:r>
              <w:rPr>
                <w:rFonts w:ascii="Arial" w:hAnsi="Arial" w:cs="Arial"/>
                <w:sz w:val="24"/>
              </w:rPr>
              <w:t>0</w:t>
            </w:r>
          </w:p>
        </w:tc>
        <w:tc>
          <w:tcPr>
            <w:tcW w:w="1364" w:type="dxa"/>
            <w:noWrap/>
            <w:hideMark/>
          </w:tcPr>
          <w:p w14:paraId="15271E0F" w14:textId="77777777" w:rsidR="00940293" w:rsidRPr="00940293" w:rsidRDefault="007E3DBA" w:rsidP="00940293">
            <w:pPr>
              <w:jc w:val="right"/>
              <w:rPr>
                <w:rFonts w:ascii="Arial" w:hAnsi="Arial" w:cs="Arial"/>
                <w:sz w:val="24"/>
              </w:rPr>
            </w:pPr>
            <w:r>
              <w:rPr>
                <w:rFonts w:ascii="Arial" w:hAnsi="Arial" w:cs="Arial"/>
                <w:sz w:val="24"/>
              </w:rPr>
              <w:t>0</w:t>
            </w:r>
          </w:p>
        </w:tc>
      </w:tr>
      <w:tr w:rsidR="00940293" w:rsidRPr="00940293" w14:paraId="36E115EE" w14:textId="77777777" w:rsidTr="007E3DBA">
        <w:trPr>
          <w:trHeight w:val="300"/>
        </w:trPr>
        <w:tc>
          <w:tcPr>
            <w:tcW w:w="2660" w:type="dxa"/>
            <w:noWrap/>
            <w:hideMark/>
          </w:tcPr>
          <w:p w14:paraId="0A9F9D26" w14:textId="77777777" w:rsidR="00940293" w:rsidRPr="00940293" w:rsidRDefault="00940293" w:rsidP="00940293">
            <w:pPr>
              <w:jc w:val="both"/>
              <w:rPr>
                <w:rFonts w:ascii="Arial" w:hAnsi="Arial" w:cs="Arial"/>
                <w:sz w:val="24"/>
              </w:rPr>
            </w:pPr>
            <w:r w:rsidRPr="00940293">
              <w:rPr>
                <w:rFonts w:ascii="Arial" w:hAnsi="Arial" w:cs="Arial"/>
                <w:sz w:val="24"/>
              </w:rPr>
              <w:t>IDACI Band 5</w:t>
            </w:r>
          </w:p>
        </w:tc>
        <w:tc>
          <w:tcPr>
            <w:tcW w:w="1559" w:type="dxa"/>
            <w:noWrap/>
            <w:hideMark/>
          </w:tcPr>
          <w:p w14:paraId="285C5ED9" w14:textId="77777777" w:rsidR="00940293" w:rsidRPr="00940293" w:rsidRDefault="007E3DBA" w:rsidP="00940293">
            <w:pPr>
              <w:jc w:val="right"/>
              <w:rPr>
                <w:rFonts w:ascii="Arial" w:hAnsi="Arial" w:cs="Arial"/>
                <w:sz w:val="24"/>
              </w:rPr>
            </w:pPr>
            <w:r>
              <w:rPr>
                <w:rFonts w:ascii="Arial" w:hAnsi="Arial" w:cs="Arial"/>
                <w:sz w:val="24"/>
              </w:rPr>
              <w:t>0</w:t>
            </w:r>
          </w:p>
        </w:tc>
        <w:tc>
          <w:tcPr>
            <w:tcW w:w="1364" w:type="dxa"/>
            <w:noWrap/>
            <w:hideMark/>
          </w:tcPr>
          <w:p w14:paraId="7AAF6C77" w14:textId="77777777" w:rsidR="00940293" w:rsidRPr="00940293" w:rsidRDefault="007E3DBA" w:rsidP="00940293">
            <w:pPr>
              <w:jc w:val="right"/>
              <w:rPr>
                <w:rFonts w:ascii="Arial" w:hAnsi="Arial" w:cs="Arial"/>
                <w:sz w:val="24"/>
              </w:rPr>
            </w:pPr>
            <w:r>
              <w:rPr>
                <w:rFonts w:ascii="Arial" w:hAnsi="Arial" w:cs="Arial"/>
                <w:sz w:val="24"/>
              </w:rPr>
              <w:t>0</w:t>
            </w:r>
          </w:p>
        </w:tc>
      </w:tr>
      <w:tr w:rsidR="00940293" w:rsidRPr="00940293" w14:paraId="5A7BBD67" w14:textId="77777777" w:rsidTr="007E3DBA">
        <w:trPr>
          <w:trHeight w:val="300"/>
        </w:trPr>
        <w:tc>
          <w:tcPr>
            <w:tcW w:w="2660" w:type="dxa"/>
            <w:noWrap/>
            <w:hideMark/>
          </w:tcPr>
          <w:p w14:paraId="7413194F" w14:textId="77777777" w:rsidR="00940293" w:rsidRPr="00940293" w:rsidRDefault="00940293" w:rsidP="00940293">
            <w:pPr>
              <w:jc w:val="both"/>
              <w:rPr>
                <w:rFonts w:ascii="Arial" w:hAnsi="Arial" w:cs="Arial"/>
                <w:sz w:val="24"/>
              </w:rPr>
            </w:pPr>
            <w:r w:rsidRPr="00940293">
              <w:rPr>
                <w:rFonts w:ascii="Arial" w:hAnsi="Arial" w:cs="Arial"/>
                <w:sz w:val="24"/>
              </w:rPr>
              <w:t>IDACI Band 6</w:t>
            </w:r>
          </w:p>
        </w:tc>
        <w:tc>
          <w:tcPr>
            <w:tcW w:w="1559" w:type="dxa"/>
            <w:noWrap/>
            <w:hideMark/>
          </w:tcPr>
          <w:p w14:paraId="1BBEE157" w14:textId="77777777" w:rsidR="00940293" w:rsidRPr="00940293" w:rsidRDefault="007E3DBA" w:rsidP="00940293">
            <w:pPr>
              <w:jc w:val="right"/>
              <w:rPr>
                <w:rFonts w:ascii="Arial" w:hAnsi="Arial" w:cs="Arial"/>
                <w:sz w:val="24"/>
              </w:rPr>
            </w:pPr>
            <w:r>
              <w:rPr>
                <w:rFonts w:ascii="Arial" w:hAnsi="Arial" w:cs="Arial"/>
                <w:sz w:val="24"/>
              </w:rPr>
              <w:t>0</w:t>
            </w:r>
          </w:p>
        </w:tc>
        <w:tc>
          <w:tcPr>
            <w:tcW w:w="1364" w:type="dxa"/>
            <w:noWrap/>
            <w:hideMark/>
          </w:tcPr>
          <w:p w14:paraId="04D780FB" w14:textId="77777777" w:rsidR="00940293" w:rsidRPr="00940293" w:rsidRDefault="007E3DBA" w:rsidP="00940293">
            <w:pPr>
              <w:jc w:val="right"/>
              <w:rPr>
                <w:rFonts w:ascii="Arial" w:hAnsi="Arial" w:cs="Arial"/>
                <w:sz w:val="24"/>
              </w:rPr>
            </w:pPr>
            <w:r>
              <w:rPr>
                <w:rFonts w:ascii="Arial" w:hAnsi="Arial" w:cs="Arial"/>
                <w:sz w:val="24"/>
              </w:rPr>
              <w:t>0</w:t>
            </w:r>
          </w:p>
        </w:tc>
      </w:tr>
    </w:tbl>
    <w:p w14:paraId="6504A383" w14:textId="77777777" w:rsidR="00045E79" w:rsidRDefault="00045E79" w:rsidP="00D924CC">
      <w:pPr>
        <w:pStyle w:val="Header"/>
        <w:jc w:val="both"/>
        <w:rPr>
          <w:rFonts w:cs="Arial"/>
          <w:b/>
          <w:szCs w:val="24"/>
        </w:rPr>
      </w:pPr>
    </w:p>
    <w:p w14:paraId="55367A75" w14:textId="77777777" w:rsidR="007C7B01" w:rsidRDefault="007C7B01" w:rsidP="00D924CC">
      <w:pPr>
        <w:pStyle w:val="Header"/>
        <w:jc w:val="both"/>
        <w:rPr>
          <w:rFonts w:cs="Arial"/>
          <w:b/>
          <w:szCs w:val="24"/>
        </w:rPr>
      </w:pPr>
    </w:p>
    <w:p w14:paraId="2604BF96" w14:textId="77777777" w:rsidR="007C7B01" w:rsidRDefault="007C7B01" w:rsidP="00D924CC">
      <w:pPr>
        <w:pStyle w:val="Header"/>
        <w:jc w:val="both"/>
        <w:rPr>
          <w:rFonts w:cs="Arial"/>
          <w:b/>
          <w:szCs w:val="24"/>
        </w:rPr>
      </w:pPr>
    </w:p>
    <w:p w14:paraId="1F36923E" w14:textId="77777777" w:rsidR="007C7B01" w:rsidRDefault="007C7B01" w:rsidP="00D924CC">
      <w:pPr>
        <w:pStyle w:val="Header"/>
        <w:jc w:val="both"/>
        <w:rPr>
          <w:rFonts w:cs="Arial"/>
          <w:b/>
          <w:szCs w:val="24"/>
        </w:rPr>
      </w:pPr>
    </w:p>
    <w:p w14:paraId="0B952992" w14:textId="77777777" w:rsidR="007C7B01" w:rsidRDefault="007C7B01" w:rsidP="00D924CC">
      <w:pPr>
        <w:pStyle w:val="Header"/>
        <w:jc w:val="both"/>
        <w:rPr>
          <w:rFonts w:cs="Arial"/>
          <w:b/>
          <w:szCs w:val="24"/>
        </w:rPr>
      </w:pPr>
    </w:p>
    <w:p w14:paraId="74687FBB" w14:textId="77777777" w:rsidR="007C7B01" w:rsidRDefault="007C7B01" w:rsidP="00D924CC">
      <w:pPr>
        <w:pStyle w:val="Header"/>
        <w:jc w:val="both"/>
        <w:rPr>
          <w:rFonts w:cs="Arial"/>
          <w:b/>
          <w:szCs w:val="24"/>
        </w:rPr>
      </w:pPr>
    </w:p>
    <w:p w14:paraId="67F923E4" w14:textId="77777777" w:rsidR="007C7B01" w:rsidRDefault="007C7B01" w:rsidP="00D924CC">
      <w:pPr>
        <w:pStyle w:val="Header"/>
        <w:jc w:val="both"/>
        <w:rPr>
          <w:rFonts w:cs="Arial"/>
          <w:b/>
          <w:szCs w:val="24"/>
        </w:rPr>
      </w:pPr>
    </w:p>
    <w:p w14:paraId="5BE2BE83" w14:textId="77777777" w:rsidR="007C7B01" w:rsidRDefault="007C7B01" w:rsidP="00D924CC">
      <w:pPr>
        <w:pStyle w:val="Header"/>
        <w:jc w:val="both"/>
        <w:rPr>
          <w:rFonts w:cs="Arial"/>
          <w:b/>
          <w:szCs w:val="24"/>
        </w:rPr>
      </w:pPr>
    </w:p>
    <w:p w14:paraId="24B39BE1" w14:textId="77777777" w:rsidR="007C7B01" w:rsidRDefault="007C7B01" w:rsidP="00D924CC">
      <w:pPr>
        <w:pStyle w:val="Header"/>
        <w:jc w:val="both"/>
        <w:rPr>
          <w:rFonts w:cs="Arial"/>
          <w:b/>
          <w:szCs w:val="24"/>
        </w:rPr>
      </w:pPr>
    </w:p>
    <w:p w14:paraId="196FDCFC" w14:textId="77777777" w:rsidR="007C7B01" w:rsidRDefault="007C7B01" w:rsidP="00D924CC">
      <w:pPr>
        <w:pStyle w:val="Header"/>
        <w:jc w:val="both"/>
        <w:rPr>
          <w:rFonts w:cs="Arial"/>
          <w:b/>
          <w:szCs w:val="24"/>
        </w:rPr>
      </w:pPr>
    </w:p>
    <w:p w14:paraId="737D65A4" w14:textId="77777777" w:rsidR="007C7B01" w:rsidRDefault="007C7B01" w:rsidP="00D924CC">
      <w:pPr>
        <w:pStyle w:val="Header"/>
        <w:jc w:val="both"/>
        <w:rPr>
          <w:rFonts w:cs="Arial"/>
          <w:b/>
          <w:szCs w:val="24"/>
        </w:rPr>
      </w:pPr>
    </w:p>
    <w:p w14:paraId="1C6D12A9" w14:textId="77777777" w:rsidR="00EC03A9" w:rsidRPr="00D924CC" w:rsidRDefault="00EC03A9" w:rsidP="00D924CC">
      <w:pPr>
        <w:pStyle w:val="Header"/>
        <w:jc w:val="both"/>
        <w:rPr>
          <w:rFonts w:cs="Arial"/>
          <w:b/>
          <w:szCs w:val="24"/>
        </w:rPr>
      </w:pPr>
      <w:r w:rsidRPr="00D924CC">
        <w:rPr>
          <w:rFonts w:cs="Arial"/>
          <w:b/>
          <w:szCs w:val="24"/>
        </w:rPr>
        <w:t xml:space="preserve">Budget Summary – </w:t>
      </w:r>
      <w:r w:rsidR="00F11122">
        <w:rPr>
          <w:rFonts w:cs="Arial"/>
          <w:b/>
          <w:szCs w:val="24"/>
        </w:rPr>
        <w:t>B</w:t>
      </w:r>
      <w:r w:rsidRPr="00D924CC">
        <w:rPr>
          <w:rFonts w:cs="Arial"/>
          <w:b/>
          <w:szCs w:val="24"/>
        </w:rPr>
        <w:t>efore headroom</w:t>
      </w:r>
      <w:r w:rsidR="00804360" w:rsidRPr="00D924CC">
        <w:rPr>
          <w:rFonts w:cs="Arial"/>
          <w:b/>
          <w:szCs w:val="24"/>
        </w:rPr>
        <w:t xml:space="preserve"> / shortfall in funding</w:t>
      </w:r>
    </w:p>
    <w:p w14:paraId="1F7190CC" w14:textId="77777777" w:rsidR="00EC03A9" w:rsidRPr="00D924CC" w:rsidRDefault="00EC03A9" w:rsidP="00D924CC">
      <w:pPr>
        <w:pStyle w:val="Header"/>
        <w:jc w:val="both"/>
        <w:rPr>
          <w:rFonts w:cs="Arial"/>
          <w:szCs w:val="24"/>
        </w:rPr>
      </w:pPr>
      <w:r w:rsidRPr="00D924CC">
        <w:rPr>
          <w:rFonts w:cs="Arial"/>
          <w:szCs w:val="24"/>
        </w:rPr>
        <w:t xml:space="preserve">The table below summarises the </w:t>
      </w:r>
      <w:r w:rsidR="0043648D">
        <w:rPr>
          <w:rFonts w:cs="Arial"/>
          <w:szCs w:val="24"/>
        </w:rPr>
        <w:t>budgets</w:t>
      </w:r>
      <w:r w:rsidR="0043648D" w:rsidRPr="00D924CC">
        <w:rPr>
          <w:rFonts w:cs="Arial"/>
          <w:szCs w:val="24"/>
        </w:rPr>
        <w:t xml:space="preserve"> </w:t>
      </w:r>
      <w:r w:rsidRPr="00D924CC">
        <w:rPr>
          <w:rFonts w:cs="Arial"/>
          <w:szCs w:val="24"/>
        </w:rPr>
        <w:t xml:space="preserve">for primary, secondary, academy and early years together with a global high needs budget using the principles agreed by the Forum. </w:t>
      </w:r>
    </w:p>
    <w:p w14:paraId="62CCACD0" w14:textId="77777777" w:rsidR="00EC03A9" w:rsidRPr="00D924CC" w:rsidRDefault="00EC03A9" w:rsidP="00D924CC">
      <w:pPr>
        <w:pStyle w:val="Header"/>
        <w:jc w:val="both"/>
        <w:rPr>
          <w:rFonts w:cs="Arial"/>
          <w:szCs w:val="24"/>
        </w:rPr>
      </w:pPr>
    </w:p>
    <w:p w14:paraId="610E8512" w14:textId="7ADD4E3C" w:rsidR="00B14F29" w:rsidRDefault="00F11122" w:rsidP="00D924CC">
      <w:pPr>
        <w:pStyle w:val="Header"/>
        <w:jc w:val="both"/>
        <w:rPr>
          <w:rFonts w:cs="Arial"/>
          <w:b/>
          <w:szCs w:val="24"/>
          <w:u w:val="single"/>
        </w:rPr>
      </w:pPr>
      <w:r>
        <w:rPr>
          <w:rFonts w:cs="Arial"/>
          <w:b/>
          <w:szCs w:val="24"/>
          <w:u w:val="single"/>
        </w:rPr>
        <w:t>DSG a</w:t>
      </w:r>
      <w:r w:rsidR="00362E03" w:rsidRPr="00D924CC">
        <w:rPr>
          <w:rFonts w:cs="Arial"/>
          <w:b/>
          <w:szCs w:val="24"/>
          <w:u w:val="single"/>
        </w:rPr>
        <w:t>llocated to</w:t>
      </w:r>
      <w:r w:rsidR="002B0A39">
        <w:rPr>
          <w:rFonts w:cs="Arial"/>
          <w:b/>
          <w:szCs w:val="24"/>
          <w:u w:val="single"/>
        </w:rPr>
        <w:t>:</w:t>
      </w:r>
    </w:p>
    <w:p w14:paraId="066EEE03" w14:textId="77777777" w:rsidR="000D0032" w:rsidRPr="000D0032" w:rsidRDefault="000D0032" w:rsidP="00D924CC">
      <w:pPr>
        <w:pStyle w:val="Header"/>
        <w:jc w:val="both"/>
        <w:rPr>
          <w:rFonts w:cs="Arial"/>
          <w:b/>
          <w:szCs w:val="24"/>
          <w:u w:val="single"/>
        </w:rPr>
      </w:pPr>
    </w:p>
    <w:tbl>
      <w:tblPr>
        <w:tblStyle w:val="TableGrid"/>
        <w:tblW w:w="0" w:type="auto"/>
        <w:tblLook w:val="04A0" w:firstRow="1" w:lastRow="0" w:firstColumn="1" w:lastColumn="0" w:noHBand="0" w:noVBand="1"/>
      </w:tblPr>
      <w:tblGrid>
        <w:gridCol w:w="7956"/>
        <w:gridCol w:w="1060"/>
      </w:tblGrid>
      <w:tr w:rsidR="004B7E1B" w:rsidRPr="000D0032" w14:paraId="2E0E948D" w14:textId="77777777" w:rsidTr="004B7E1B">
        <w:trPr>
          <w:trHeight w:val="285"/>
        </w:trPr>
        <w:tc>
          <w:tcPr>
            <w:tcW w:w="8100" w:type="dxa"/>
            <w:noWrap/>
            <w:hideMark/>
          </w:tcPr>
          <w:p w14:paraId="0513F7C2" w14:textId="77777777" w:rsidR="004B7E1B" w:rsidRPr="000D0032" w:rsidRDefault="004B7E1B" w:rsidP="004B7E1B">
            <w:pPr>
              <w:pStyle w:val="Header"/>
              <w:jc w:val="both"/>
              <w:rPr>
                <w:rFonts w:ascii="Arial" w:hAnsi="Arial" w:cs="Arial"/>
                <w:sz w:val="22"/>
              </w:rPr>
            </w:pPr>
          </w:p>
        </w:tc>
        <w:tc>
          <w:tcPr>
            <w:tcW w:w="1076" w:type="dxa"/>
            <w:noWrap/>
            <w:hideMark/>
          </w:tcPr>
          <w:p w14:paraId="6A147663" w14:textId="77777777" w:rsidR="004B7E1B" w:rsidRPr="000D0032" w:rsidRDefault="004B7E1B" w:rsidP="000D0032">
            <w:pPr>
              <w:pStyle w:val="Header"/>
              <w:jc w:val="center"/>
              <w:rPr>
                <w:rFonts w:ascii="Arial" w:hAnsi="Arial" w:cs="Arial"/>
                <w:sz w:val="22"/>
              </w:rPr>
            </w:pPr>
            <w:r w:rsidRPr="000D0032">
              <w:rPr>
                <w:rFonts w:ascii="Arial" w:hAnsi="Arial" w:cs="Arial"/>
                <w:sz w:val="22"/>
              </w:rPr>
              <w:t>£m's</w:t>
            </w:r>
          </w:p>
        </w:tc>
      </w:tr>
      <w:tr w:rsidR="004B7E1B" w:rsidRPr="000D0032" w14:paraId="4CDD22E0" w14:textId="77777777" w:rsidTr="004B7E1B">
        <w:trPr>
          <w:trHeight w:val="285"/>
        </w:trPr>
        <w:tc>
          <w:tcPr>
            <w:tcW w:w="8100" w:type="dxa"/>
            <w:noWrap/>
            <w:hideMark/>
          </w:tcPr>
          <w:p w14:paraId="00659DDF" w14:textId="77777777" w:rsidR="004B7E1B" w:rsidRPr="000D0032" w:rsidRDefault="004B7E1B" w:rsidP="004B7E1B">
            <w:pPr>
              <w:pStyle w:val="Header"/>
              <w:jc w:val="both"/>
              <w:rPr>
                <w:rFonts w:ascii="Arial" w:hAnsi="Arial" w:cs="Arial"/>
                <w:sz w:val="22"/>
              </w:rPr>
            </w:pPr>
            <w:r w:rsidRPr="000D0032">
              <w:rPr>
                <w:rFonts w:ascii="Arial" w:hAnsi="Arial" w:cs="Arial"/>
                <w:sz w:val="22"/>
              </w:rPr>
              <w:t>Schools Block</w:t>
            </w:r>
          </w:p>
        </w:tc>
        <w:tc>
          <w:tcPr>
            <w:tcW w:w="1076" w:type="dxa"/>
            <w:noWrap/>
            <w:hideMark/>
          </w:tcPr>
          <w:p w14:paraId="556633C6" w14:textId="77777777" w:rsidR="004B7E1B" w:rsidRPr="000D0032" w:rsidRDefault="004B7E1B" w:rsidP="000D0032">
            <w:pPr>
              <w:pStyle w:val="Header"/>
              <w:jc w:val="right"/>
              <w:rPr>
                <w:rFonts w:ascii="Arial" w:hAnsi="Arial" w:cs="Arial"/>
                <w:sz w:val="22"/>
              </w:rPr>
            </w:pPr>
            <w:r w:rsidRPr="000D0032">
              <w:rPr>
                <w:rFonts w:ascii="Arial" w:hAnsi="Arial" w:cs="Arial"/>
                <w:sz w:val="22"/>
              </w:rPr>
              <w:t xml:space="preserve">696.793 </w:t>
            </w:r>
          </w:p>
        </w:tc>
      </w:tr>
      <w:tr w:rsidR="004B7E1B" w:rsidRPr="000D0032" w14:paraId="4C973A45" w14:textId="77777777" w:rsidTr="004B7E1B">
        <w:trPr>
          <w:trHeight w:val="285"/>
        </w:trPr>
        <w:tc>
          <w:tcPr>
            <w:tcW w:w="8100" w:type="dxa"/>
            <w:noWrap/>
            <w:hideMark/>
          </w:tcPr>
          <w:p w14:paraId="5A8FBB79" w14:textId="77777777" w:rsidR="004B7E1B" w:rsidRPr="000D0032" w:rsidRDefault="004B7E1B" w:rsidP="004B7E1B">
            <w:pPr>
              <w:pStyle w:val="Header"/>
              <w:jc w:val="both"/>
              <w:rPr>
                <w:rFonts w:ascii="Arial" w:hAnsi="Arial" w:cs="Arial"/>
                <w:sz w:val="22"/>
              </w:rPr>
            </w:pPr>
            <w:r w:rsidRPr="000D0032">
              <w:rPr>
                <w:rFonts w:ascii="Arial" w:hAnsi="Arial" w:cs="Arial"/>
                <w:sz w:val="22"/>
              </w:rPr>
              <w:t>Early Years Block 3/4 year olds</w:t>
            </w:r>
          </w:p>
        </w:tc>
        <w:tc>
          <w:tcPr>
            <w:tcW w:w="1076" w:type="dxa"/>
            <w:noWrap/>
            <w:hideMark/>
          </w:tcPr>
          <w:p w14:paraId="5717F177" w14:textId="77777777" w:rsidR="004B7E1B" w:rsidRPr="000D0032" w:rsidRDefault="004B7E1B" w:rsidP="000D0032">
            <w:pPr>
              <w:pStyle w:val="Header"/>
              <w:jc w:val="right"/>
              <w:rPr>
                <w:rFonts w:ascii="Arial" w:hAnsi="Arial" w:cs="Arial"/>
                <w:sz w:val="22"/>
              </w:rPr>
            </w:pPr>
            <w:r w:rsidRPr="000D0032">
              <w:rPr>
                <w:rFonts w:ascii="Arial" w:hAnsi="Arial" w:cs="Arial"/>
                <w:sz w:val="22"/>
              </w:rPr>
              <w:t xml:space="preserve">48.326 </w:t>
            </w:r>
          </w:p>
        </w:tc>
      </w:tr>
      <w:tr w:rsidR="004B7E1B" w:rsidRPr="000D0032" w14:paraId="07BDF317" w14:textId="77777777" w:rsidTr="004B7E1B">
        <w:trPr>
          <w:trHeight w:val="285"/>
        </w:trPr>
        <w:tc>
          <w:tcPr>
            <w:tcW w:w="8100" w:type="dxa"/>
            <w:noWrap/>
            <w:hideMark/>
          </w:tcPr>
          <w:p w14:paraId="60A35350" w14:textId="77777777" w:rsidR="004B7E1B" w:rsidRPr="000D0032" w:rsidRDefault="004B7E1B" w:rsidP="004B7E1B">
            <w:pPr>
              <w:pStyle w:val="Header"/>
              <w:jc w:val="both"/>
              <w:rPr>
                <w:rFonts w:ascii="Arial" w:hAnsi="Arial" w:cs="Arial"/>
                <w:sz w:val="22"/>
              </w:rPr>
            </w:pPr>
            <w:r w:rsidRPr="000D0032">
              <w:rPr>
                <w:rFonts w:ascii="Arial" w:hAnsi="Arial" w:cs="Arial"/>
                <w:sz w:val="22"/>
              </w:rPr>
              <w:t>Early Years Block 2 year olds</w:t>
            </w:r>
          </w:p>
        </w:tc>
        <w:tc>
          <w:tcPr>
            <w:tcW w:w="1076" w:type="dxa"/>
            <w:noWrap/>
            <w:hideMark/>
          </w:tcPr>
          <w:p w14:paraId="74C013A1" w14:textId="77777777" w:rsidR="004B7E1B" w:rsidRPr="000D0032" w:rsidRDefault="004B7E1B" w:rsidP="000D0032">
            <w:pPr>
              <w:pStyle w:val="Header"/>
              <w:jc w:val="right"/>
              <w:rPr>
                <w:rFonts w:ascii="Arial" w:hAnsi="Arial" w:cs="Arial"/>
                <w:sz w:val="22"/>
              </w:rPr>
            </w:pPr>
            <w:r w:rsidRPr="000D0032">
              <w:rPr>
                <w:rFonts w:ascii="Arial" w:hAnsi="Arial" w:cs="Arial"/>
                <w:sz w:val="22"/>
              </w:rPr>
              <w:t xml:space="preserve">12.173 </w:t>
            </w:r>
          </w:p>
        </w:tc>
      </w:tr>
      <w:tr w:rsidR="004B7E1B" w:rsidRPr="000D0032" w14:paraId="0ACE824D" w14:textId="77777777" w:rsidTr="004B7E1B">
        <w:trPr>
          <w:trHeight w:val="285"/>
        </w:trPr>
        <w:tc>
          <w:tcPr>
            <w:tcW w:w="8100" w:type="dxa"/>
            <w:noWrap/>
            <w:hideMark/>
          </w:tcPr>
          <w:p w14:paraId="1D23668A" w14:textId="77777777" w:rsidR="004B7E1B" w:rsidRPr="000D0032" w:rsidRDefault="004B7E1B" w:rsidP="004B7E1B">
            <w:pPr>
              <w:pStyle w:val="Header"/>
              <w:jc w:val="both"/>
              <w:rPr>
                <w:rFonts w:ascii="Arial" w:hAnsi="Arial" w:cs="Arial"/>
                <w:sz w:val="22"/>
              </w:rPr>
            </w:pPr>
            <w:r w:rsidRPr="000D0032">
              <w:rPr>
                <w:rFonts w:ascii="Arial" w:hAnsi="Arial" w:cs="Arial"/>
                <w:sz w:val="22"/>
              </w:rPr>
              <w:t>High Needs Block (HNB)</w:t>
            </w:r>
          </w:p>
        </w:tc>
        <w:tc>
          <w:tcPr>
            <w:tcW w:w="1076" w:type="dxa"/>
            <w:noWrap/>
            <w:hideMark/>
          </w:tcPr>
          <w:p w14:paraId="722183E9" w14:textId="77777777" w:rsidR="004B7E1B" w:rsidRPr="000D0032" w:rsidRDefault="004B7E1B" w:rsidP="000D0032">
            <w:pPr>
              <w:pStyle w:val="Header"/>
              <w:jc w:val="right"/>
              <w:rPr>
                <w:rFonts w:ascii="Arial" w:hAnsi="Arial" w:cs="Arial"/>
                <w:sz w:val="22"/>
              </w:rPr>
            </w:pPr>
          </w:p>
        </w:tc>
      </w:tr>
      <w:tr w:rsidR="004B7E1B" w:rsidRPr="000D0032" w14:paraId="159297F3" w14:textId="77777777" w:rsidTr="004B7E1B">
        <w:trPr>
          <w:trHeight w:val="285"/>
        </w:trPr>
        <w:tc>
          <w:tcPr>
            <w:tcW w:w="8100" w:type="dxa"/>
            <w:noWrap/>
            <w:hideMark/>
          </w:tcPr>
          <w:p w14:paraId="2F6972CE" w14:textId="77777777" w:rsidR="004B7E1B" w:rsidRPr="000D0032" w:rsidRDefault="004B7E1B" w:rsidP="000D0032">
            <w:pPr>
              <w:pStyle w:val="Header"/>
              <w:ind w:left="720"/>
              <w:jc w:val="both"/>
              <w:rPr>
                <w:rFonts w:ascii="Arial" w:hAnsi="Arial" w:cs="Arial"/>
                <w:sz w:val="22"/>
              </w:rPr>
            </w:pPr>
            <w:r w:rsidRPr="000D0032">
              <w:rPr>
                <w:rFonts w:ascii="Arial" w:hAnsi="Arial" w:cs="Arial"/>
                <w:sz w:val="22"/>
              </w:rPr>
              <w:t>HNB Mainstream</w:t>
            </w:r>
          </w:p>
        </w:tc>
        <w:tc>
          <w:tcPr>
            <w:tcW w:w="1076" w:type="dxa"/>
            <w:noWrap/>
            <w:hideMark/>
          </w:tcPr>
          <w:p w14:paraId="7B661077" w14:textId="77777777" w:rsidR="004B7E1B" w:rsidRPr="000D0032" w:rsidRDefault="004B7E1B" w:rsidP="000D0032">
            <w:pPr>
              <w:pStyle w:val="Header"/>
              <w:jc w:val="right"/>
              <w:rPr>
                <w:rFonts w:ascii="Arial" w:hAnsi="Arial" w:cs="Arial"/>
                <w:sz w:val="22"/>
              </w:rPr>
            </w:pPr>
            <w:r w:rsidRPr="000D0032">
              <w:rPr>
                <w:rFonts w:ascii="Arial" w:hAnsi="Arial" w:cs="Arial"/>
                <w:sz w:val="22"/>
              </w:rPr>
              <w:t xml:space="preserve">5.457 </w:t>
            </w:r>
          </w:p>
        </w:tc>
      </w:tr>
      <w:tr w:rsidR="004B7E1B" w:rsidRPr="000D0032" w14:paraId="7E643428" w14:textId="77777777" w:rsidTr="004B7E1B">
        <w:trPr>
          <w:trHeight w:val="285"/>
        </w:trPr>
        <w:tc>
          <w:tcPr>
            <w:tcW w:w="8100" w:type="dxa"/>
            <w:noWrap/>
            <w:hideMark/>
          </w:tcPr>
          <w:p w14:paraId="33DBFC5A" w14:textId="77777777" w:rsidR="004B7E1B" w:rsidRPr="000D0032" w:rsidRDefault="004B7E1B" w:rsidP="000D0032">
            <w:pPr>
              <w:pStyle w:val="Header"/>
              <w:ind w:left="720"/>
              <w:jc w:val="both"/>
              <w:rPr>
                <w:rFonts w:ascii="Arial" w:hAnsi="Arial" w:cs="Arial"/>
                <w:sz w:val="22"/>
              </w:rPr>
            </w:pPr>
            <w:r w:rsidRPr="000D0032">
              <w:rPr>
                <w:rFonts w:ascii="Arial" w:hAnsi="Arial" w:cs="Arial"/>
                <w:sz w:val="22"/>
              </w:rPr>
              <w:t>HNB Special Schools</w:t>
            </w:r>
          </w:p>
        </w:tc>
        <w:tc>
          <w:tcPr>
            <w:tcW w:w="1076" w:type="dxa"/>
            <w:noWrap/>
            <w:hideMark/>
          </w:tcPr>
          <w:p w14:paraId="196CCF95" w14:textId="77777777" w:rsidR="004B7E1B" w:rsidRPr="000D0032" w:rsidRDefault="004B7E1B" w:rsidP="000D0032">
            <w:pPr>
              <w:pStyle w:val="Header"/>
              <w:jc w:val="right"/>
              <w:rPr>
                <w:rFonts w:ascii="Arial" w:hAnsi="Arial" w:cs="Arial"/>
                <w:sz w:val="22"/>
              </w:rPr>
            </w:pPr>
            <w:r w:rsidRPr="000D0032">
              <w:rPr>
                <w:rFonts w:ascii="Arial" w:hAnsi="Arial" w:cs="Arial"/>
                <w:sz w:val="22"/>
              </w:rPr>
              <w:t xml:space="preserve">46.177 </w:t>
            </w:r>
          </w:p>
        </w:tc>
      </w:tr>
      <w:tr w:rsidR="004B7E1B" w:rsidRPr="000D0032" w14:paraId="12098731" w14:textId="77777777" w:rsidTr="004B7E1B">
        <w:trPr>
          <w:trHeight w:val="285"/>
        </w:trPr>
        <w:tc>
          <w:tcPr>
            <w:tcW w:w="8100" w:type="dxa"/>
            <w:noWrap/>
            <w:hideMark/>
          </w:tcPr>
          <w:p w14:paraId="6531E91A" w14:textId="77777777" w:rsidR="004B7E1B" w:rsidRPr="000D0032" w:rsidRDefault="004B7E1B" w:rsidP="000D0032">
            <w:pPr>
              <w:pStyle w:val="Header"/>
              <w:ind w:left="720"/>
              <w:jc w:val="both"/>
              <w:rPr>
                <w:rFonts w:ascii="Arial" w:hAnsi="Arial" w:cs="Arial"/>
                <w:sz w:val="22"/>
              </w:rPr>
            </w:pPr>
            <w:r w:rsidRPr="000D0032">
              <w:rPr>
                <w:rFonts w:ascii="Arial" w:hAnsi="Arial" w:cs="Arial"/>
                <w:sz w:val="22"/>
              </w:rPr>
              <w:t>HNB PRU Places</w:t>
            </w:r>
          </w:p>
        </w:tc>
        <w:tc>
          <w:tcPr>
            <w:tcW w:w="1076" w:type="dxa"/>
            <w:noWrap/>
            <w:hideMark/>
          </w:tcPr>
          <w:p w14:paraId="46C86CFA" w14:textId="77777777" w:rsidR="004B7E1B" w:rsidRPr="000D0032" w:rsidRDefault="004B7E1B" w:rsidP="000D0032">
            <w:pPr>
              <w:pStyle w:val="Header"/>
              <w:jc w:val="right"/>
              <w:rPr>
                <w:rFonts w:ascii="Arial" w:hAnsi="Arial" w:cs="Arial"/>
                <w:sz w:val="22"/>
              </w:rPr>
            </w:pPr>
            <w:r w:rsidRPr="000D0032">
              <w:rPr>
                <w:rFonts w:ascii="Arial" w:hAnsi="Arial" w:cs="Arial"/>
                <w:sz w:val="22"/>
              </w:rPr>
              <w:t xml:space="preserve">10.952 </w:t>
            </w:r>
          </w:p>
        </w:tc>
      </w:tr>
      <w:tr w:rsidR="004B7E1B" w:rsidRPr="000D0032" w14:paraId="10C9241A" w14:textId="77777777" w:rsidTr="004B7E1B">
        <w:trPr>
          <w:trHeight w:val="285"/>
        </w:trPr>
        <w:tc>
          <w:tcPr>
            <w:tcW w:w="8100" w:type="dxa"/>
            <w:noWrap/>
            <w:hideMark/>
          </w:tcPr>
          <w:p w14:paraId="12942A83" w14:textId="77777777" w:rsidR="004B7E1B" w:rsidRPr="000D0032" w:rsidRDefault="004B7E1B" w:rsidP="000D0032">
            <w:pPr>
              <w:pStyle w:val="Header"/>
              <w:ind w:left="720"/>
              <w:jc w:val="both"/>
              <w:rPr>
                <w:rFonts w:ascii="Arial" w:hAnsi="Arial" w:cs="Arial"/>
                <w:sz w:val="22"/>
              </w:rPr>
            </w:pPr>
            <w:r w:rsidRPr="000D0032">
              <w:rPr>
                <w:rFonts w:ascii="Arial" w:hAnsi="Arial" w:cs="Arial"/>
                <w:sz w:val="22"/>
              </w:rPr>
              <w:t>HNB PRU WPN</w:t>
            </w:r>
          </w:p>
        </w:tc>
        <w:tc>
          <w:tcPr>
            <w:tcW w:w="1076" w:type="dxa"/>
            <w:noWrap/>
            <w:hideMark/>
          </w:tcPr>
          <w:p w14:paraId="592F908C" w14:textId="77777777" w:rsidR="004B7E1B" w:rsidRPr="000D0032" w:rsidRDefault="004B7E1B" w:rsidP="000D0032">
            <w:pPr>
              <w:pStyle w:val="Header"/>
              <w:jc w:val="right"/>
              <w:rPr>
                <w:rFonts w:ascii="Arial" w:hAnsi="Arial" w:cs="Arial"/>
                <w:sz w:val="22"/>
              </w:rPr>
            </w:pPr>
            <w:r w:rsidRPr="000D0032">
              <w:rPr>
                <w:rFonts w:ascii="Arial" w:hAnsi="Arial" w:cs="Arial"/>
                <w:sz w:val="22"/>
              </w:rPr>
              <w:t xml:space="preserve">0.053 </w:t>
            </w:r>
          </w:p>
        </w:tc>
      </w:tr>
      <w:tr w:rsidR="004B7E1B" w:rsidRPr="000D0032" w14:paraId="57ED4979" w14:textId="77777777" w:rsidTr="004B7E1B">
        <w:trPr>
          <w:trHeight w:val="285"/>
        </w:trPr>
        <w:tc>
          <w:tcPr>
            <w:tcW w:w="8100" w:type="dxa"/>
            <w:noWrap/>
            <w:hideMark/>
          </w:tcPr>
          <w:p w14:paraId="0F7AB9BD" w14:textId="77777777" w:rsidR="004B7E1B" w:rsidRPr="000D0032" w:rsidRDefault="004B7E1B" w:rsidP="000D0032">
            <w:pPr>
              <w:pStyle w:val="Header"/>
              <w:ind w:left="720"/>
              <w:jc w:val="both"/>
              <w:rPr>
                <w:rFonts w:ascii="Arial" w:hAnsi="Arial" w:cs="Arial"/>
                <w:sz w:val="22"/>
              </w:rPr>
            </w:pPr>
            <w:r w:rsidRPr="000D0032">
              <w:rPr>
                <w:rFonts w:ascii="Arial" w:hAnsi="Arial" w:cs="Arial"/>
                <w:sz w:val="22"/>
              </w:rPr>
              <w:t>HNB FE</w:t>
            </w:r>
          </w:p>
        </w:tc>
        <w:tc>
          <w:tcPr>
            <w:tcW w:w="1076" w:type="dxa"/>
            <w:noWrap/>
            <w:hideMark/>
          </w:tcPr>
          <w:p w14:paraId="7234354A" w14:textId="77777777" w:rsidR="004B7E1B" w:rsidRPr="000D0032" w:rsidRDefault="004B7E1B" w:rsidP="000D0032">
            <w:pPr>
              <w:pStyle w:val="Header"/>
              <w:jc w:val="right"/>
              <w:rPr>
                <w:rFonts w:ascii="Arial" w:hAnsi="Arial" w:cs="Arial"/>
                <w:sz w:val="22"/>
              </w:rPr>
            </w:pPr>
            <w:r w:rsidRPr="000D0032">
              <w:rPr>
                <w:rFonts w:ascii="Arial" w:hAnsi="Arial" w:cs="Arial"/>
                <w:sz w:val="22"/>
              </w:rPr>
              <w:t xml:space="preserve">5.406 </w:t>
            </w:r>
          </w:p>
        </w:tc>
      </w:tr>
      <w:tr w:rsidR="004B7E1B" w:rsidRPr="009F59A6" w14:paraId="19A20C7E" w14:textId="77777777" w:rsidTr="000D0032">
        <w:trPr>
          <w:trHeight w:val="353"/>
        </w:trPr>
        <w:tc>
          <w:tcPr>
            <w:tcW w:w="8100" w:type="dxa"/>
            <w:noWrap/>
            <w:hideMark/>
          </w:tcPr>
          <w:p w14:paraId="45288EE2" w14:textId="77777777" w:rsidR="004B7E1B" w:rsidRPr="009F59A6" w:rsidRDefault="004B7E1B" w:rsidP="004B7E1B">
            <w:pPr>
              <w:pStyle w:val="Header"/>
              <w:jc w:val="both"/>
              <w:rPr>
                <w:rFonts w:ascii="Arial" w:hAnsi="Arial" w:cs="Arial"/>
                <w:sz w:val="22"/>
              </w:rPr>
            </w:pPr>
            <w:r w:rsidRPr="009F59A6">
              <w:rPr>
                <w:rFonts w:ascii="Arial" w:hAnsi="Arial" w:cs="Arial"/>
                <w:sz w:val="22"/>
              </w:rPr>
              <w:t>Centrally retained budget</w:t>
            </w:r>
          </w:p>
        </w:tc>
        <w:tc>
          <w:tcPr>
            <w:tcW w:w="1076" w:type="dxa"/>
            <w:noWrap/>
            <w:hideMark/>
          </w:tcPr>
          <w:p w14:paraId="3FFE4B78" w14:textId="77777777" w:rsidR="004B7E1B" w:rsidRPr="009F59A6" w:rsidRDefault="004B7E1B" w:rsidP="000D0032">
            <w:pPr>
              <w:pStyle w:val="Header"/>
              <w:jc w:val="right"/>
              <w:rPr>
                <w:rFonts w:ascii="Arial" w:hAnsi="Arial" w:cs="Arial"/>
                <w:sz w:val="22"/>
              </w:rPr>
            </w:pPr>
            <w:r w:rsidRPr="009F59A6">
              <w:rPr>
                <w:rFonts w:ascii="Arial" w:hAnsi="Arial" w:cs="Arial"/>
                <w:sz w:val="22"/>
              </w:rPr>
              <w:t xml:space="preserve">35.933 </w:t>
            </w:r>
          </w:p>
        </w:tc>
      </w:tr>
      <w:tr w:rsidR="004B7E1B" w:rsidRPr="009F59A6" w14:paraId="7BA0F6EA" w14:textId="77777777" w:rsidTr="004B7E1B">
        <w:trPr>
          <w:trHeight w:val="570"/>
        </w:trPr>
        <w:tc>
          <w:tcPr>
            <w:tcW w:w="8100" w:type="dxa"/>
            <w:noWrap/>
            <w:hideMark/>
          </w:tcPr>
          <w:p w14:paraId="78C605B4" w14:textId="77777777" w:rsidR="004B7E1B" w:rsidRPr="009F59A6" w:rsidRDefault="004B7E1B" w:rsidP="004B7E1B">
            <w:pPr>
              <w:pStyle w:val="Header"/>
              <w:jc w:val="both"/>
              <w:rPr>
                <w:rFonts w:ascii="Arial" w:hAnsi="Arial" w:cs="Arial"/>
                <w:sz w:val="22"/>
              </w:rPr>
            </w:pPr>
          </w:p>
          <w:p w14:paraId="5FD5B29D" w14:textId="77777777" w:rsidR="004B7E1B" w:rsidRPr="009F59A6" w:rsidRDefault="004B7E1B" w:rsidP="004B7E1B">
            <w:pPr>
              <w:pStyle w:val="Header"/>
              <w:jc w:val="both"/>
              <w:rPr>
                <w:rFonts w:ascii="Arial" w:hAnsi="Arial" w:cs="Arial"/>
                <w:sz w:val="22"/>
              </w:rPr>
            </w:pPr>
            <w:r w:rsidRPr="009F59A6">
              <w:rPr>
                <w:rFonts w:ascii="Arial" w:hAnsi="Arial" w:cs="Arial"/>
                <w:sz w:val="22"/>
              </w:rPr>
              <w:t>Total of Allocations</w:t>
            </w:r>
          </w:p>
          <w:p w14:paraId="2432245A" w14:textId="77777777" w:rsidR="004B7E1B" w:rsidRPr="009F59A6" w:rsidRDefault="004B7E1B" w:rsidP="004B7E1B">
            <w:pPr>
              <w:pStyle w:val="Header"/>
              <w:jc w:val="both"/>
              <w:rPr>
                <w:rFonts w:ascii="Arial" w:hAnsi="Arial" w:cs="Arial"/>
                <w:sz w:val="22"/>
              </w:rPr>
            </w:pPr>
          </w:p>
        </w:tc>
        <w:tc>
          <w:tcPr>
            <w:tcW w:w="1076" w:type="dxa"/>
            <w:noWrap/>
            <w:hideMark/>
          </w:tcPr>
          <w:p w14:paraId="32A95914" w14:textId="77777777" w:rsidR="004B7E1B" w:rsidRPr="009F59A6" w:rsidRDefault="004B7E1B" w:rsidP="000D0032">
            <w:pPr>
              <w:pStyle w:val="Header"/>
              <w:jc w:val="right"/>
              <w:rPr>
                <w:rFonts w:ascii="Arial" w:hAnsi="Arial" w:cs="Arial"/>
                <w:sz w:val="22"/>
              </w:rPr>
            </w:pPr>
          </w:p>
          <w:p w14:paraId="25CB1994" w14:textId="77777777" w:rsidR="004B7E1B" w:rsidRPr="009F59A6" w:rsidRDefault="004B7E1B" w:rsidP="000D0032">
            <w:pPr>
              <w:pStyle w:val="Header"/>
              <w:jc w:val="right"/>
              <w:rPr>
                <w:rFonts w:ascii="Arial" w:hAnsi="Arial" w:cs="Arial"/>
                <w:sz w:val="22"/>
              </w:rPr>
            </w:pPr>
            <w:r w:rsidRPr="009F59A6">
              <w:rPr>
                <w:rFonts w:ascii="Arial" w:hAnsi="Arial" w:cs="Arial"/>
                <w:sz w:val="22"/>
              </w:rPr>
              <w:t xml:space="preserve">861.270 </w:t>
            </w:r>
          </w:p>
        </w:tc>
      </w:tr>
    </w:tbl>
    <w:p w14:paraId="7B7E2C81" w14:textId="77777777" w:rsidR="00EC03A9" w:rsidRPr="009F59A6" w:rsidRDefault="00EC03A9" w:rsidP="002B0A39">
      <w:pPr>
        <w:pStyle w:val="Header"/>
        <w:jc w:val="both"/>
        <w:rPr>
          <w:rFonts w:cs="Arial"/>
          <w:szCs w:val="24"/>
        </w:rPr>
      </w:pPr>
    </w:p>
    <w:p w14:paraId="327E4587" w14:textId="77777777" w:rsidR="00EC03A9" w:rsidRPr="009F59A6" w:rsidRDefault="00EC03A9" w:rsidP="00D924CC">
      <w:pPr>
        <w:pStyle w:val="Header"/>
        <w:jc w:val="both"/>
        <w:rPr>
          <w:rFonts w:cs="Arial"/>
          <w:szCs w:val="24"/>
        </w:rPr>
      </w:pPr>
      <w:r w:rsidRPr="009F59A6">
        <w:rPr>
          <w:rFonts w:cs="Arial"/>
          <w:szCs w:val="24"/>
        </w:rPr>
        <w:t>At this stage, we have within the schools block:</w:t>
      </w:r>
    </w:p>
    <w:p w14:paraId="313E1ED7" w14:textId="77777777" w:rsidR="00EC03A9" w:rsidRPr="009F59A6" w:rsidRDefault="00DB694B" w:rsidP="00AF66CA">
      <w:pPr>
        <w:pStyle w:val="Header"/>
        <w:numPr>
          <w:ilvl w:val="0"/>
          <w:numId w:val="20"/>
        </w:numPr>
        <w:jc w:val="both"/>
        <w:rPr>
          <w:rFonts w:cs="Arial"/>
          <w:szCs w:val="24"/>
        </w:rPr>
      </w:pPr>
      <w:r w:rsidRPr="009F59A6">
        <w:rPr>
          <w:rFonts w:cs="Arial"/>
          <w:szCs w:val="24"/>
        </w:rPr>
        <w:t>122</w:t>
      </w:r>
      <w:r w:rsidR="00BC54D5" w:rsidRPr="009F59A6">
        <w:rPr>
          <w:rFonts w:cs="Arial"/>
          <w:szCs w:val="24"/>
        </w:rPr>
        <w:t xml:space="preserve"> </w:t>
      </w:r>
      <w:r w:rsidR="00EC03A9" w:rsidRPr="009F59A6">
        <w:rPr>
          <w:rFonts w:cs="Arial"/>
          <w:szCs w:val="24"/>
        </w:rPr>
        <w:t>schools and academies in MFG (</w:t>
      </w:r>
      <w:r w:rsidR="007E3DBA" w:rsidRPr="009F59A6">
        <w:rPr>
          <w:rFonts w:cs="Arial"/>
          <w:szCs w:val="24"/>
        </w:rPr>
        <w:t>109</w:t>
      </w:r>
      <w:r w:rsidR="00BC54D5" w:rsidRPr="009F59A6">
        <w:rPr>
          <w:rFonts w:cs="Arial"/>
          <w:szCs w:val="24"/>
        </w:rPr>
        <w:t xml:space="preserve"> </w:t>
      </w:r>
      <w:r w:rsidR="00EC03A9" w:rsidRPr="009F59A6">
        <w:rPr>
          <w:rFonts w:cs="Arial"/>
          <w:szCs w:val="24"/>
        </w:rPr>
        <w:t xml:space="preserve">primary and </w:t>
      </w:r>
      <w:r w:rsidRPr="009F59A6">
        <w:rPr>
          <w:rFonts w:cs="Arial"/>
          <w:szCs w:val="24"/>
        </w:rPr>
        <w:t>13</w:t>
      </w:r>
      <w:r w:rsidR="00257513" w:rsidRPr="009F59A6">
        <w:rPr>
          <w:rFonts w:cs="Arial"/>
          <w:szCs w:val="24"/>
        </w:rPr>
        <w:t xml:space="preserve"> </w:t>
      </w:r>
      <w:r w:rsidR="00EC03A9" w:rsidRPr="009F59A6">
        <w:rPr>
          <w:rFonts w:cs="Arial"/>
          <w:szCs w:val="24"/>
        </w:rPr>
        <w:t xml:space="preserve">secondary) compared to </w:t>
      </w:r>
      <w:r w:rsidR="007E3DBA" w:rsidRPr="009F59A6">
        <w:rPr>
          <w:rFonts w:cs="Arial"/>
          <w:szCs w:val="24"/>
        </w:rPr>
        <w:t>105</w:t>
      </w:r>
      <w:r w:rsidR="00BC54D5" w:rsidRPr="009F59A6">
        <w:rPr>
          <w:rFonts w:cs="Arial"/>
          <w:szCs w:val="24"/>
        </w:rPr>
        <w:t xml:space="preserve"> </w:t>
      </w:r>
      <w:r w:rsidR="00EC03A9" w:rsidRPr="009F59A6">
        <w:rPr>
          <w:rFonts w:cs="Arial"/>
          <w:szCs w:val="24"/>
        </w:rPr>
        <w:t xml:space="preserve">in </w:t>
      </w:r>
      <w:r w:rsidR="007E3DBA" w:rsidRPr="009F59A6">
        <w:rPr>
          <w:rFonts w:cs="Arial"/>
          <w:szCs w:val="24"/>
        </w:rPr>
        <w:t>2015</w:t>
      </w:r>
      <w:r w:rsidR="00EC03A9" w:rsidRPr="009F59A6">
        <w:rPr>
          <w:rFonts w:cs="Arial"/>
          <w:szCs w:val="24"/>
        </w:rPr>
        <w:t>/</w:t>
      </w:r>
      <w:r w:rsidR="007E3DBA" w:rsidRPr="009F59A6">
        <w:rPr>
          <w:rFonts w:cs="Arial"/>
          <w:szCs w:val="24"/>
        </w:rPr>
        <w:t>16</w:t>
      </w:r>
      <w:r w:rsidR="00EC03A9" w:rsidRPr="009F59A6">
        <w:rPr>
          <w:rFonts w:cs="Arial"/>
          <w:szCs w:val="24"/>
        </w:rPr>
        <w:t>;</w:t>
      </w:r>
    </w:p>
    <w:p w14:paraId="3731ECEE" w14:textId="77777777" w:rsidR="00EC03A9" w:rsidRPr="009F59A6" w:rsidRDefault="00DB694B" w:rsidP="00D924CC">
      <w:pPr>
        <w:pStyle w:val="Header"/>
        <w:numPr>
          <w:ilvl w:val="0"/>
          <w:numId w:val="20"/>
        </w:numPr>
        <w:jc w:val="both"/>
        <w:rPr>
          <w:rFonts w:cs="Arial"/>
          <w:szCs w:val="24"/>
        </w:rPr>
      </w:pPr>
      <w:r w:rsidRPr="009F59A6">
        <w:rPr>
          <w:rFonts w:cs="Arial"/>
          <w:szCs w:val="24"/>
        </w:rPr>
        <w:t>142</w:t>
      </w:r>
      <w:r w:rsidR="00BC54D5" w:rsidRPr="009F59A6">
        <w:rPr>
          <w:rFonts w:cs="Arial"/>
          <w:szCs w:val="24"/>
        </w:rPr>
        <w:t xml:space="preserve"> </w:t>
      </w:r>
      <w:r w:rsidR="00EC03A9" w:rsidRPr="009F59A6">
        <w:rPr>
          <w:rFonts w:cs="Arial"/>
          <w:szCs w:val="24"/>
        </w:rPr>
        <w:t xml:space="preserve">schools </w:t>
      </w:r>
      <w:r w:rsidR="00BC54D5" w:rsidRPr="009F59A6">
        <w:rPr>
          <w:rFonts w:cs="Arial"/>
          <w:szCs w:val="24"/>
        </w:rPr>
        <w:t xml:space="preserve">and academies </w:t>
      </w:r>
      <w:r w:rsidR="00EC03A9" w:rsidRPr="009F59A6">
        <w:rPr>
          <w:rFonts w:cs="Arial"/>
          <w:szCs w:val="24"/>
        </w:rPr>
        <w:t>capped (</w:t>
      </w:r>
      <w:r w:rsidRPr="009F59A6">
        <w:rPr>
          <w:rFonts w:cs="Arial"/>
          <w:szCs w:val="24"/>
        </w:rPr>
        <w:t>122</w:t>
      </w:r>
      <w:r w:rsidR="00BC54D5" w:rsidRPr="009F59A6">
        <w:rPr>
          <w:rFonts w:cs="Arial"/>
          <w:szCs w:val="24"/>
        </w:rPr>
        <w:t xml:space="preserve"> </w:t>
      </w:r>
      <w:r w:rsidR="00EC03A9" w:rsidRPr="009F59A6">
        <w:rPr>
          <w:rFonts w:cs="Arial"/>
          <w:szCs w:val="24"/>
        </w:rPr>
        <w:t xml:space="preserve">primary and </w:t>
      </w:r>
      <w:r w:rsidRPr="009F59A6">
        <w:rPr>
          <w:rFonts w:cs="Arial"/>
          <w:szCs w:val="24"/>
        </w:rPr>
        <w:t>20</w:t>
      </w:r>
      <w:r w:rsidR="00BC54D5" w:rsidRPr="009F59A6">
        <w:rPr>
          <w:rFonts w:cs="Arial"/>
          <w:szCs w:val="24"/>
        </w:rPr>
        <w:t xml:space="preserve"> </w:t>
      </w:r>
      <w:r w:rsidR="00EC03A9" w:rsidRPr="009F59A6">
        <w:rPr>
          <w:rFonts w:cs="Arial"/>
          <w:szCs w:val="24"/>
        </w:rPr>
        <w:t xml:space="preserve">secondary) compared to </w:t>
      </w:r>
      <w:r w:rsidR="007E3DBA" w:rsidRPr="009F59A6">
        <w:rPr>
          <w:rFonts w:cs="Arial"/>
          <w:szCs w:val="24"/>
        </w:rPr>
        <w:t>170</w:t>
      </w:r>
      <w:r w:rsidR="00BC54D5" w:rsidRPr="009F59A6">
        <w:rPr>
          <w:rFonts w:cs="Arial"/>
          <w:szCs w:val="24"/>
        </w:rPr>
        <w:t xml:space="preserve"> </w:t>
      </w:r>
      <w:r w:rsidR="00EC03A9" w:rsidRPr="009F59A6">
        <w:rPr>
          <w:rFonts w:cs="Arial"/>
          <w:szCs w:val="24"/>
        </w:rPr>
        <w:t xml:space="preserve">in </w:t>
      </w:r>
      <w:r w:rsidR="00BC54D5" w:rsidRPr="009F59A6">
        <w:rPr>
          <w:rFonts w:cs="Arial"/>
          <w:szCs w:val="24"/>
        </w:rPr>
        <w:t>201</w:t>
      </w:r>
      <w:r w:rsidR="007E3DBA" w:rsidRPr="009F59A6">
        <w:rPr>
          <w:rFonts w:cs="Arial"/>
          <w:szCs w:val="24"/>
        </w:rPr>
        <w:t>5</w:t>
      </w:r>
      <w:r w:rsidR="00EC03A9" w:rsidRPr="009F59A6">
        <w:rPr>
          <w:rFonts w:cs="Arial"/>
          <w:szCs w:val="24"/>
        </w:rPr>
        <w:t>/</w:t>
      </w:r>
      <w:r w:rsidR="007E3DBA" w:rsidRPr="009F59A6">
        <w:rPr>
          <w:rFonts w:cs="Arial"/>
          <w:szCs w:val="24"/>
        </w:rPr>
        <w:t>16</w:t>
      </w:r>
      <w:r w:rsidR="00EC03A9" w:rsidRPr="009F59A6">
        <w:rPr>
          <w:rFonts w:cs="Arial"/>
          <w:szCs w:val="24"/>
        </w:rPr>
        <w:t>;</w:t>
      </w:r>
    </w:p>
    <w:p w14:paraId="115B439A" w14:textId="77777777" w:rsidR="00EC03A9" w:rsidRPr="009F59A6" w:rsidRDefault="00DB694B" w:rsidP="00D924CC">
      <w:pPr>
        <w:pStyle w:val="Header"/>
        <w:numPr>
          <w:ilvl w:val="0"/>
          <w:numId w:val="20"/>
        </w:numPr>
        <w:jc w:val="both"/>
        <w:rPr>
          <w:rFonts w:cs="Arial"/>
          <w:szCs w:val="24"/>
        </w:rPr>
      </w:pPr>
      <w:r w:rsidRPr="009F59A6">
        <w:rPr>
          <w:rFonts w:cs="Arial"/>
          <w:szCs w:val="24"/>
        </w:rPr>
        <w:t>304</w:t>
      </w:r>
      <w:r w:rsidR="00BC54D5" w:rsidRPr="009F59A6">
        <w:rPr>
          <w:rFonts w:cs="Arial"/>
          <w:szCs w:val="24"/>
        </w:rPr>
        <w:t xml:space="preserve"> </w:t>
      </w:r>
      <w:r w:rsidR="00EC03A9" w:rsidRPr="009F59A6">
        <w:rPr>
          <w:rFonts w:cs="Arial"/>
          <w:szCs w:val="24"/>
        </w:rPr>
        <w:t xml:space="preserve">schools </w:t>
      </w:r>
      <w:r w:rsidR="00BC54D5" w:rsidRPr="009F59A6">
        <w:rPr>
          <w:rFonts w:cs="Arial"/>
          <w:szCs w:val="24"/>
        </w:rPr>
        <w:t xml:space="preserve">and academies </w:t>
      </w:r>
      <w:r w:rsidR="00EC03A9" w:rsidRPr="009F59A6">
        <w:rPr>
          <w:rFonts w:cs="Arial"/>
          <w:szCs w:val="24"/>
        </w:rPr>
        <w:t xml:space="preserve">not in MFG or capped compared to </w:t>
      </w:r>
      <w:r w:rsidR="007E3DBA" w:rsidRPr="009F59A6">
        <w:rPr>
          <w:rFonts w:cs="Arial"/>
          <w:szCs w:val="24"/>
        </w:rPr>
        <w:t>2</w:t>
      </w:r>
      <w:r w:rsidR="009F0648" w:rsidRPr="009F59A6">
        <w:rPr>
          <w:rFonts w:cs="Arial"/>
          <w:szCs w:val="24"/>
        </w:rPr>
        <w:t>92</w:t>
      </w:r>
      <w:r w:rsidR="00BC54D5" w:rsidRPr="009F59A6">
        <w:rPr>
          <w:rFonts w:cs="Arial"/>
          <w:szCs w:val="24"/>
        </w:rPr>
        <w:t xml:space="preserve"> </w:t>
      </w:r>
      <w:r w:rsidR="00EC03A9" w:rsidRPr="009F59A6">
        <w:rPr>
          <w:rFonts w:cs="Arial"/>
          <w:szCs w:val="24"/>
        </w:rPr>
        <w:t xml:space="preserve">in </w:t>
      </w:r>
      <w:r w:rsidR="007E3DBA" w:rsidRPr="009F59A6">
        <w:rPr>
          <w:rFonts w:cs="Arial"/>
          <w:szCs w:val="24"/>
        </w:rPr>
        <w:t>2015</w:t>
      </w:r>
      <w:r w:rsidR="00EC03A9" w:rsidRPr="009F59A6">
        <w:rPr>
          <w:rFonts w:cs="Arial"/>
          <w:szCs w:val="24"/>
        </w:rPr>
        <w:t>/</w:t>
      </w:r>
      <w:r w:rsidR="007E3DBA" w:rsidRPr="009F59A6">
        <w:rPr>
          <w:rFonts w:cs="Arial"/>
          <w:szCs w:val="24"/>
        </w:rPr>
        <w:t>16</w:t>
      </w:r>
      <w:r w:rsidR="00EC03A9" w:rsidRPr="009F59A6">
        <w:rPr>
          <w:rFonts w:cs="Arial"/>
          <w:szCs w:val="24"/>
        </w:rPr>
        <w:t>;</w:t>
      </w:r>
    </w:p>
    <w:p w14:paraId="753D15F4" w14:textId="77777777" w:rsidR="00EC03A9" w:rsidRPr="009F59A6" w:rsidRDefault="00EC03A9" w:rsidP="007E3DBA">
      <w:pPr>
        <w:pStyle w:val="Header"/>
        <w:numPr>
          <w:ilvl w:val="0"/>
          <w:numId w:val="20"/>
        </w:numPr>
        <w:jc w:val="both"/>
        <w:rPr>
          <w:rFonts w:cs="Arial"/>
          <w:szCs w:val="24"/>
        </w:rPr>
      </w:pPr>
      <w:r w:rsidRPr="009F59A6">
        <w:rPr>
          <w:rFonts w:cs="Arial"/>
          <w:szCs w:val="24"/>
        </w:rPr>
        <w:t>Net cost of MFG after applying the cap is £</w:t>
      </w:r>
      <w:r w:rsidR="00DB5CB5" w:rsidRPr="009F59A6">
        <w:rPr>
          <w:rFonts w:cs="Arial"/>
          <w:szCs w:val="24"/>
        </w:rPr>
        <w:t>5.569</w:t>
      </w:r>
      <w:r w:rsidRPr="009F59A6">
        <w:rPr>
          <w:rFonts w:cs="Arial"/>
          <w:szCs w:val="24"/>
        </w:rPr>
        <w:t>m compared to £</w:t>
      </w:r>
      <w:r w:rsidR="007E3DBA" w:rsidRPr="009F59A6">
        <w:rPr>
          <w:rFonts w:cs="Arial"/>
          <w:szCs w:val="24"/>
        </w:rPr>
        <w:t>3.581</w:t>
      </w:r>
      <w:r w:rsidRPr="009F59A6">
        <w:rPr>
          <w:rFonts w:cs="Arial"/>
          <w:szCs w:val="24"/>
        </w:rPr>
        <w:t xml:space="preserve">m in </w:t>
      </w:r>
      <w:r w:rsidR="007E3DBA" w:rsidRPr="009F59A6">
        <w:rPr>
          <w:rFonts w:cs="Arial"/>
          <w:szCs w:val="24"/>
        </w:rPr>
        <w:t>2015</w:t>
      </w:r>
      <w:r w:rsidRPr="009F59A6">
        <w:rPr>
          <w:rFonts w:cs="Arial"/>
          <w:szCs w:val="24"/>
        </w:rPr>
        <w:t>/</w:t>
      </w:r>
      <w:r w:rsidR="007E3DBA" w:rsidRPr="009F59A6">
        <w:rPr>
          <w:rFonts w:cs="Arial"/>
          <w:szCs w:val="24"/>
        </w:rPr>
        <w:t>16</w:t>
      </w:r>
      <w:r w:rsidRPr="009F59A6">
        <w:rPr>
          <w:rFonts w:cs="Arial"/>
          <w:szCs w:val="24"/>
        </w:rPr>
        <w:t>.</w:t>
      </w:r>
    </w:p>
    <w:p w14:paraId="43801585" w14:textId="77777777" w:rsidR="00EC03A9" w:rsidRPr="009F59A6" w:rsidRDefault="00EC03A9" w:rsidP="00D924CC">
      <w:pPr>
        <w:pStyle w:val="Header"/>
        <w:ind w:left="780"/>
        <w:jc w:val="both"/>
        <w:rPr>
          <w:rFonts w:cs="Arial"/>
          <w:szCs w:val="24"/>
        </w:rPr>
      </w:pPr>
    </w:p>
    <w:p w14:paraId="23C66E1A" w14:textId="7E01B75F" w:rsidR="00EC03A9" w:rsidRPr="00D924CC" w:rsidRDefault="00EC03A9" w:rsidP="00D924CC">
      <w:pPr>
        <w:pStyle w:val="Header"/>
        <w:jc w:val="both"/>
        <w:rPr>
          <w:rFonts w:cs="Arial"/>
          <w:szCs w:val="24"/>
        </w:rPr>
      </w:pPr>
      <w:r w:rsidRPr="009F59A6">
        <w:rPr>
          <w:rFonts w:cs="Arial"/>
          <w:szCs w:val="24"/>
        </w:rPr>
        <w:t xml:space="preserve">As in </w:t>
      </w:r>
      <w:r w:rsidR="00B04217" w:rsidRPr="009F59A6">
        <w:rPr>
          <w:rFonts w:cs="Arial"/>
          <w:szCs w:val="24"/>
        </w:rPr>
        <w:t>2015</w:t>
      </w:r>
      <w:r w:rsidRPr="009F59A6">
        <w:rPr>
          <w:rFonts w:cs="Arial"/>
          <w:szCs w:val="24"/>
        </w:rPr>
        <w:t>/</w:t>
      </w:r>
      <w:r w:rsidR="00B04217" w:rsidRPr="009F59A6">
        <w:rPr>
          <w:rFonts w:cs="Arial"/>
          <w:szCs w:val="24"/>
        </w:rPr>
        <w:t>16</w:t>
      </w:r>
      <w:r w:rsidRPr="009F59A6">
        <w:rPr>
          <w:rFonts w:cs="Arial"/>
          <w:szCs w:val="24"/>
        </w:rPr>
        <w:t>, no special schools</w:t>
      </w:r>
      <w:r w:rsidR="00045E79">
        <w:rPr>
          <w:rFonts w:cs="Arial"/>
          <w:szCs w:val="24"/>
        </w:rPr>
        <w:t>, PRUs</w:t>
      </w:r>
      <w:r w:rsidRPr="009F59A6">
        <w:rPr>
          <w:rFonts w:cs="Arial"/>
          <w:szCs w:val="24"/>
        </w:rPr>
        <w:t xml:space="preserve"> or early </w:t>
      </w:r>
      <w:proofErr w:type="gramStart"/>
      <w:r w:rsidRPr="009F59A6">
        <w:rPr>
          <w:rFonts w:cs="Arial"/>
          <w:szCs w:val="24"/>
        </w:rPr>
        <w:t>years</w:t>
      </w:r>
      <w:proofErr w:type="gramEnd"/>
      <w:r w:rsidRPr="009F59A6">
        <w:rPr>
          <w:rFonts w:cs="Arial"/>
          <w:szCs w:val="24"/>
        </w:rPr>
        <w:t xml:space="preserve"> providers are in MFG.</w:t>
      </w:r>
    </w:p>
    <w:p w14:paraId="0E7AACAC" w14:textId="77777777" w:rsidR="00EC03A9" w:rsidRPr="00D924CC" w:rsidRDefault="00EC03A9" w:rsidP="00D924CC">
      <w:pPr>
        <w:pStyle w:val="ListParagraph"/>
        <w:tabs>
          <w:tab w:val="left" w:pos="1635"/>
        </w:tabs>
        <w:ind w:left="0"/>
        <w:jc w:val="both"/>
        <w:rPr>
          <w:rFonts w:cs="Arial"/>
          <w:b/>
          <w:u w:val="single"/>
        </w:rPr>
      </w:pPr>
    </w:p>
    <w:p w14:paraId="133EF211" w14:textId="77777777" w:rsidR="00EC03A9" w:rsidRPr="009F59A6" w:rsidRDefault="00362E03" w:rsidP="00D924CC">
      <w:pPr>
        <w:pStyle w:val="ListParagraph"/>
        <w:tabs>
          <w:tab w:val="left" w:pos="1635"/>
        </w:tabs>
        <w:ind w:left="0"/>
        <w:jc w:val="both"/>
        <w:rPr>
          <w:rFonts w:cs="Arial"/>
          <w:b/>
          <w:u w:val="single"/>
        </w:rPr>
      </w:pPr>
      <w:r w:rsidRPr="009F59A6">
        <w:rPr>
          <w:rFonts w:cs="Arial"/>
          <w:b/>
          <w:u w:val="single"/>
        </w:rPr>
        <w:t>Pupil Premium Grant</w:t>
      </w:r>
    </w:p>
    <w:p w14:paraId="70D936C3" w14:textId="77777777" w:rsidR="00EC03A9" w:rsidRPr="009F59A6" w:rsidRDefault="00EC03A9" w:rsidP="00D924CC">
      <w:pPr>
        <w:pStyle w:val="ListParagraph"/>
        <w:tabs>
          <w:tab w:val="left" w:pos="1635"/>
        </w:tabs>
        <w:ind w:left="0"/>
        <w:jc w:val="both"/>
        <w:rPr>
          <w:rFonts w:cs="Arial"/>
        </w:rPr>
      </w:pPr>
      <w:r w:rsidRPr="009F59A6">
        <w:rPr>
          <w:rFonts w:cs="Arial"/>
        </w:rPr>
        <w:t xml:space="preserve">The Pupil Premium Grant (PPG) is allocated in addition to the funding which is allocated through the Schools Budget.  It is to support disadvantaged pupils, who continue to underachieve compared with their peers. </w:t>
      </w:r>
    </w:p>
    <w:p w14:paraId="5816C6B5" w14:textId="77777777" w:rsidR="00EC03A9" w:rsidRPr="009F59A6" w:rsidRDefault="00EC03A9" w:rsidP="00D924CC">
      <w:pPr>
        <w:pStyle w:val="ListParagraph"/>
        <w:tabs>
          <w:tab w:val="left" w:pos="1635"/>
        </w:tabs>
        <w:ind w:left="0"/>
        <w:jc w:val="both"/>
        <w:rPr>
          <w:rFonts w:cs="Arial"/>
        </w:rPr>
      </w:pPr>
    </w:p>
    <w:p w14:paraId="7CD1EEEF" w14:textId="26BFCE18" w:rsidR="00EC03A9" w:rsidRPr="00D924CC" w:rsidRDefault="00DE1C47" w:rsidP="00D924CC">
      <w:pPr>
        <w:pStyle w:val="ListParagraph"/>
        <w:tabs>
          <w:tab w:val="left" w:pos="1635"/>
        </w:tabs>
        <w:ind w:left="0"/>
        <w:jc w:val="both"/>
        <w:rPr>
          <w:rFonts w:cs="Arial"/>
        </w:rPr>
      </w:pPr>
      <w:r w:rsidRPr="009F59A6">
        <w:rPr>
          <w:rFonts w:cs="Arial"/>
        </w:rPr>
        <w:t xml:space="preserve">The </w:t>
      </w:r>
      <w:proofErr w:type="spellStart"/>
      <w:r w:rsidRPr="009F59A6">
        <w:rPr>
          <w:rFonts w:cs="Arial"/>
        </w:rPr>
        <w:t>DfE</w:t>
      </w:r>
      <w:proofErr w:type="spellEnd"/>
      <w:r w:rsidRPr="009F59A6">
        <w:rPr>
          <w:rFonts w:cs="Arial"/>
        </w:rPr>
        <w:t xml:space="preserve"> ha</w:t>
      </w:r>
      <w:r w:rsidR="002B0A39">
        <w:rPr>
          <w:rFonts w:cs="Arial"/>
        </w:rPr>
        <w:t>s</w:t>
      </w:r>
      <w:r w:rsidRPr="009F59A6">
        <w:rPr>
          <w:rFonts w:cs="Arial"/>
        </w:rPr>
        <w:t xml:space="preserve"> indicated that the </w:t>
      </w:r>
      <w:r w:rsidR="00CC6D91" w:rsidRPr="009F59A6">
        <w:rPr>
          <w:rFonts w:cs="Arial"/>
        </w:rPr>
        <w:t xml:space="preserve">funding rates </w:t>
      </w:r>
      <w:r w:rsidR="009A6CFA" w:rsidRPr="009F59A6">
        <w:rPr>
          <w:rFonts w:cs="Arial"/>
        </w:rPr>
        <w:t>for 201</w:t>
      </w:r>
      <w:r w:rsidR="000B1A6C" w:rsidRPr="009F59A6">
        <w:rPr>
          <w:rFonts w:cs="Arial"/>
        </w:rPr>
        <w:t>6</w:t>
      </w:r>
      <w:r w:rsidR="009A6CFA" w:rsidRPr="009F59A6">
        <w:rPr>
          <w:rFonts w:cs="Arial"/>
        </w:rPr>
        <w:t>/1</w:t>
      </w:r>
      <w:r w:rsidR="000B1A6C" w:rsidRPr="009F59A6">
        <w:rPr>
          <w:rFonts w:cs="Arial"/>
        </w:rPr>
        <w:t>7</w:t>
      </w:r>
      <w:r w:rsidRPr="009F59A6">
        <w:rPr>
          <w:rFonts w:cs="Arial"/>
        </w:rPr>
        <w:t xml:space="preserve"> will be held at the 2015/16 level.</w:t>
      </w:r>
    </w:p>
    <w:p w14:paraId="1CC83738" w14:textId="77777777" w:rsidR="00EC03A9" w:rsidRPr="00D924CC" w:rsidRDefault="00EC03A9" w:rsidP="00D924CC">
      <w:pPr>
        <w:pStyle w:val="ListParagraph"/>
        <w:tabs>
          <w:tab w:val="left" w:pos="1635"/>
        </w:tabs>
        <w:ind w:left="0"/>
        <w:jc w:val="both"/>
        <w:rPr>
          <w:rFonts w:cs="Arial"/>
        </w:rPr>
      </w:pPr>
    </w:p>
    <w:p w14:paraId="47FB2481" w14:textId="77777777" w:rsidR="00EC03A9" w:rsidRPr="00D924CC" w:rsidRDefault="00362E03" w:rsidP="00D924CC">
      <w:pPr>
        <w:pStyle w:val="ListParagraph"/>
        <w:tabs>
          <w:tab w:val="left" w:pos="1635"/>
        </w:tabs>
        <w:ind w:left="0"/>
        <w:jc w:val="both"/>
        <w:rPr>
          <w:rFonts w:cs="Arial"/>
          <w:b/>
          <w:u w:val="single"/>
        </w:rPr>
      </w:pPr>
      <w:r w:rsidRPr="00D924CC">
        <w:rPr>
          <w:rFonts w:cs="Arial"/>
          <w:b/>
          <w:u w:val="single"/>
        </w:rPr>
        <w:t xml:space="preserve">Central </w:t>
      </w:r>
      <w:r w:rsidR="003075D7">
        <w:rPr>
          <w:rFonts w:cs="Arial"/>
          <w:b/>
          <w:u w:val="single"/>
        </w:rPr>
        <w:t>S</w:t>
      </w:r>
      <w:r w:rsidRPr="00D924CC">
        <w:rPr>
          <w:rFonts w:cs="Arial"/>
          <w:b/>
          <w:u w:val="single"/>
        </w:rPr>
        <w:t xml:space="preserve">ervices and </w:t>
      </w:r>
      <w:r w:rsidR="003075D7">
        <w:rPr>
          <w:rFonts w:cs="Arial"/>
          <w:b/>
          <w:u w:val="single"/>
        </w:rPr>
        <w:t>C</w:t>
      </w:r>
      <w:r w:rsidRPr="00D924CC">
        <w:rPr>
          <w:rFonts w:cs="Arial"/>
          <w:b/>
          <w:u w:val="single"/>
        </w:rPr>
        <w:t xml:space="preserve">ommissioned </w:t>
      </w:r>
      <w:r w:rsidR="003075D7">
        <w:rPr>
          <w:rFonts w:cs="Arial"/>
          <w:b/>
          <w:u w:val="single"/>
        </w:rPr>
        <w:t>S</w:t>
      </w:r>
      <w:r w:rsidRPr="00D924CC">
        <w:rPr>
          <w:rFonts w:cs="Arial"/>
          <w:b/>
          <w:u w:val="single"/>
        </w:rPr>
        <w:t xml:space="preserve">ervices </w:t>
      </w:r>
      <w:r w:rsidR="003075D7">
        <w:rPr>
          <w:rFonts w:cs="Arial"/>
          <w:b/>
          <w:u w:val="single"/>
        </w:rPr>
        <w:t>B</w:t>
      </w:r>
      <w:r w:rsidRPr="00D924CC">
        <w:rPr>
          <w:rFonts w:cs="Arial"/>
          <w:b/>
          <w:u w:val="single"/>
        </w:rPr>
        <w:t xml:space="preserve">udget </w:t>
      </w:r>
      <w:r w:rsidR="00067918">
        <w:rPr>
          <w:rFonts w:cs="Arial"/>
          <w:b/>
          <w:u w:val="single"/>
        </w:rPr>
        <w:t>2016/17</w:t>
      </w:r>
    </w:p>
    <w:p w14:paraId="08B43572" w14:textId="77777777" w:rsidR="00EC03A9" w:rsidRPr="00D924CC" w:rsidRDefault="00EC03A9" w:rsidP="00D924CC">
      <w:pPr>
        <w:jc w:val="both"/>
        <w:rPr>
          <w:rFonts w:cs="Arial"/>
        </w:rPr>
      </w:pPr>
      <w:r w:rsidRPr="00D924CC">
        <w:rPr>
          <w:rFonts w:cs="Arial"/>
        </w:rPr>
        <w:t>As a result of the national funding reforms introduced in April 2013, the central items budget is now split into two distinct areas, these are now known as the centrally retained budgets:</w:t>
      </w:r>
    </w:p>
    <w:p w14:paraId="0472FBF5" w14:textId="77777777" w:rsidR="00EC03A9" w:rsidRPr="00D924CC" w:rsidRDefault="00EC03A9" w:rsidP="00D924CC">
      <w:pPr>
        <w:jc w:val="both"/>
        <w:rPr>
          <w:rFonts w:cs="Arial"/>
        </w:rPr>
      </w:pPr>
    </w:p>
    <w:p w14:paraId="4A38998E" w14:textId="1D3E8E42" w:rsidR="00EC03A9" w:rsidRPr="00D924CC" w:rsidRDefault="00EC03A9" w:rsidP="00D924CC">
      <w:pPr>
        <w:pStyle w:val="ListParagraph"/>
        <w:numPr>
          <w:ilvl w:val="0"/>
          <w:numId w:val="19"/>
        </w:numPr>
        <w:tabs>
          <w:tab w:val="left" w:pos="1635"/>
        </w:tabs>
        <w:contextualSpacing w:val="0"/>
        <w:jc w:val="both"/>
        <w:rPr>
          <w:rFonts w:cs="Arial"/>
        </w:rPr>
      </w:pPr>
      <w:r w:rsidRPr="00D924CC">
        <w:rPr>
          <w:rFonts w:cs="Arial"/>
        </w:rPr>
        <w:lastRenderedPageBreak/>
        <w:t xml:space="preserve">Central Services - Where funding stays with the </w:t>
      </w:r>
      <w:r w:rsidR="002B0A39">
        <w:rPr>
          <w:rFonts w:cs="Arial"/>
        </w:rPr>
        <w:t>local authority</w:t>
      </w:r>
      <w:r w:rsidRPr="00D924CC">
        <w:rPr>
          <w:rFonts w:cs="Arial"/>
        </w:rPr>
        <w:t xml:space="preserve">.  These areas are generally </w:t>
      </w:r>
      <w:r w:rsidR="002B0A39">
        <w:rPr>
          <w:rFonts w:cs="Arial"/>
        </w:rPr>
        <w:t>local authority</w:t>
      </w:r>
      <w:r w:rsidRPr="00D924CC">
        <w:rPr>
          <w:rFonts w:cs="Arial"/>
        </w:rPr>
        <w:t xml:space="preserve"> statutory functions and budgets are capped at the previous year's level;</w:t>
      </w:r>
    </w:p>
    <w:p w14:paraId="7867B539" w14:textId="77777777" w:rsidR="00EC03A9" w:rsidRPr="00D924CC" w:rsidRDefault="00EC03A9" w:rsidP="00D924CC">
      <w:pPr>
        <w:pStyle w:val="ListParagraph"/>
        <w:numPr>
          <w:ilvl w:val="0"/>
          <w:numId w:val="19"/>
        </w:numPr>
        <w:tabs>
          <w:tab w:val="left" w:pos="1635"/>
        </w:tabs>
        <w:contextualSpacing w:val="0"/>
        <w:jc w:val="both"/>
        <w:rPr>
          <w:rFonts w:cs="Arial"/>
        </w:rPr>
      </w:pPr>
      <w:r w:rsidRPr="00D924CC">
        <w:rPr>
          <w:rFonts w:cs="Arial"/>
        </w:rPr>
        <w:t>Commissioned Services - Where funding is held centrally but then allocated to schools/service providers in connection with the education provision for individual pupils/young people.</w:t>
      </w:r>
    </w:p>
    <w:p w14:paraId="3DA04757" w14:textId="77777777" w:rsidR="00EC03A9" w:rsidRPr="00D924CC" w:rsidRDefault="00EC03A9" w:rsidP="00D924CC">
      <w:pPr>
        <w:jc w:val="both"/>
        <w:rPr>
          <w:rFonts w:cs="Arial"/>
        </w:rPr>
      </w:pPr>
    </w:p>
    <w:p w14:paraId="48DDA35B" w14:textId="680B3F9E" w:rsidR="00EB3192" w:rsidRDefault="00EC03A9" w:rsidP="00D924CC">
      <w:pPr>
        <w:jc w:val="both"/>
        <w:rPr>
          <w:rFonts w:cs="Arial"/>
        </w:rPr>
      </w:pPr>
      <w:r w:rsidRPr="00D924CC">
        <w:rPr>
          <w:rFonts w:cs="Arial"/>
        </w:rPr>
        <w:t xml:space="preserve">As in previous years a detailed review of the centrally retained budgets has been undertaken and </w:t>
      </w:r>
      <w:r w:rsidR="00EB3192" w:rsidRPr="00D924CC">
        <w:rPr>
          <w:rFonts w:cs="Arial"/>
        </w:rPr>
        <w:t>information is provided</w:t>
      </w:r>
      <w:r w:rsidR="007B1A7E" w:rsidRPr="00D924CC">
        <w:rPr>
          <w:rFonts w:cs="Arial"/>
        </w:rPr>
        <w:t xml:space="preserve"> in the table below </w:t>
      </w:r>
      <w:r w:rsidR="00EB3192" w:rsidRPr="00D924CC">
        <w:rPr>
          <w:rFonts w:cs="Arial"/>
        </w:rPr>
        <w:t xml:space="preserve">together with explanatory notes for the variance between </w:t>
      </w:r>
      <w:r w:rsidR="00EB3192" w:rsidRPr="004C0042">
        <w:rPr>
          <w:rFonts w:cs="Arial"/>
        </w:rPr>
        <w:t>2015/16</w:t>
      </w:r>
      <w:r w:rsidR="004C0042" w:rsidRPr="004C0042">
        <w:rPr>
          <w:rFonts w:cs="Arial"/>
        </w:rPr>
        <w:t xml:space="preserve"> and 2016/17</w:t>
      </w:r>
      <w:r w:rsidR="00EB3192" w:rsidRPr="004C0042">
        <w:rPr>
          <w:rFonts w:cs="Arial"/>
        </w:rPr>
        <w:t>:</w:t>
      </w:r>
    </w:p>
    <w:p w14:paraId="79D0B039" w14:textId="77777777" w:rsidR="004B7E1B" w:rsidRPr="00D924CC" w:rsidRDefault="004B7E1B" w:rsidP="00D924CC">
      <w:pPr>
        <w:jc w:val="both"/>
        <w:rPr>
          <w:rFonts w:cs="Arial"/>
        </w:rPr>
      </w:pPr>
    </w:p>
    <w:p w14:paraId="56057690" w14:textId="77777777" w:rsidR="00EB3192" w:rsidRPr="00D924CC" w:rsidRDefault="004C0042" w:rsidP="00D924CC">
      <w:pPr>
        <w:jc w:val="both"/>
        <w:rPr>
          <w:rFonts w:cs="Arial"/>
        </w:rPr>
      </w:pPr>
      <w:r w:rsidRPr="00E70C80">
        <w:rPr>
          <w:noProof/>
        </w:rPr>
        <w:drawing>
          <wp:inline distT="0" distB="0" distL="0" distR="0" wp14:anchorId="0A20F63D" wp14:editId="2D93491E">
            <wp:extent cx="5731510" cy="471805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718050"/>
                    </a:xfrm>
                    <a:prstGeom prst="rect">
                      <a:avLst/>
                    </a:prstGeom>
                    <a:noFill/>
                    <a:ln>
                      <a:noFill/>
                    </a:ln>
                  </pic:spPr>
                </pic:pic>
              </a:graphicData>
            </a:graphic>
          </wp:inline>
        </w:drawing>
      </w:r>
    </w:p>
    <w:p w14:paraId="2AA255E5" w14:textId="77777777" w:rsidR="004C0042" w:rsidRDefault="004C0042" w:rsidP="004C0042">
      <w:pPr>
        <w:jc w:val="both"/>
      </w:pPr>
    </w:p>
    <w:p w14:paraId="30C5F507" w14:textId="77777777" w:rsidR="004C0042" w:rsidRDefault="004C0042" w:rsidP="004C0042">
      <w:pPr>
        <w:jc w:val="both"/>
      </w:pPr>
      <w:r>
        <w:t>Notes:</w:t>
      </w:r>
    </w:p>
    <w:p w14:paraId="3555E848" w14:textId="77777777" w:rsidR="004C0042" w:rsidRDefault="004C0042" w:rsidP="004C0042">
      <w:pPr>
        <w:jc w:val="both"/>
      </w:pPr>
    </w:p>
    <w:p w14:paraId="3BBCEAB9" w14:textId="77777777" w:rsidR="004C0042" w:rsidRDefault="004C0042" w:rsidP="004C0042">
      <w:pPr>
        <w:pStyle w:val="ListParagraph"/>
        <w:numPr>
          <w:ilvl w:val="0"/>
          <w:numId w:val="23"/>
        </w:numPr>
        <w:jc w:val="both"/>
        <w:rPr>
          <w:u w:val="single"/>
        </w:rPr>
      </w:pPr>
      <w:r w:rsidRPr="00761BD1">
        <w:rPr>
          <w:u w:val="single"/>
        </w:rPr>
        <w:t xml:space="preserve">Expenditure on licenses which are negotiated centrally by the Secretary of State – </w:t>
      </w:r>
      <w:r>
        <w:rPr>
          <w:u w:val="single"/>
        </w:rPr>
        <w:t>Increase</w:t>
      </w:r>
      <w:r w:rsidRPr="00761BD1">
        <w:rPr>
          <w:u w:val="single"/>
        </w:rPr>
        <w:t xml:space="preserve"> £0.</w:t>
      </w:r>
      <w:r>
        <w:rPr>
          <w:u w:val="single"/>
        </w:rPr>
        <w:t>328</w:t>
      </w:r>
      <w:r w:rsidRPr="00761BD1">
        <w:rPr>
          <w:u w:val="single"/>
        </w:rPr>
        <w:t>m</w:t>
      </w:r>
      <w:r w:rsidR="001E2065">
        <w:rPr>
          <w:u w:val="single"/>
        </w:rPr>
        <w:t xml:space="preserve"> *</w:t>
      </w:r>
    </w:p>
    <w:p w14:paraId="67652222" w14:textId="77777777" w:rsidR="002B0A39" w:rsidRPr="00761BD1" w:rsidRDefault="002B0A39" w:rsidP="002B0A39">
      <w:pPr>
        <w:pStyle w:val="ListParagraph"/>
        <w:jc w:val="both"/>
        <w:rPr>
          <w:u w:val="single"/>
        </w:rPr>
      </w:pPr>
    </w:p>
    <w:p w14:paraId="72F912F2" w14:textId="03E4462F" w:rsidR="004C0042" w:rsidRDefault="004C0042" w:rsidP="004C0042">
      <w:pPr>
        <w:pStyle w:val="ListParagraph"/>
        <w:jc w:val="both"/>
      </w:pPr>
      <w:r>
        <w:t xml:space="preserve">As copyright licences are centrally negotiated by the Secretary of State regulations allow this to be included within central schools expenditure. The </w:t>
      </w:r>
      <w:proofErr w:type="spellStart"/>
      <w:r>
        <w:t>DfE</w:t>
      </w:r>
      <w:proofErr w:type="spellEnd"/>
      <w:r>
        <w:t xml:space="preserve"> have included additional licences in the national licensing arrangements which has caused an increase in the budgeted cost.  This element of expenditure is excluded from the limit on central items.</w:t>
      </w:r>
    </w:p>
    <w:p w14:paraId="5858BC22" w14:textId="77777777" w:rsidR="001E2065" w:rsidRDefault="001E2065" w:rsidP="004C0042">
      <w:pPr>
        <w:pStyle w:val="ListParagraph"/>
        <w:jc w:val="both"/>
      </w:pPr>
    </w:p>
    <w:p w14:paraId="5F3645AF" w14:textId="542021C7" w:rsidR="001E2065" w:rsidRPr="001E2065" w:rsidRDefault="001E2065" w:rsidP="004C0042">
      <w:pPr>
        <w:pStyle w:val="ListParagraph"/>
        <w:jc w:val="both"/>
        <w:rPr>
          <w:b/>
          <w:i/>
          <w:u w:val="single"/>
        </w:rPr>
      </w:pPr>
      <w:r w:rsidRPr="001E2065">
        <w:rPr>
          <w:i/>
        </w:rPr>
        <w:lastRenderedPageBreak/>
        <w:t xml:space="preserve">(*subsequent to the production of the table above, </w:t>
      </w:r>
      <w:proofErr w:type="spellStart"/>
      <w:r w:rsidRPr="001E2065">
        <w:rPr>
          <w:i/>
        </w:rPr>
        <w:t>D</w:t>
      </w:r>
      <w:r w:rsidR="002B0A39">
        <w:rPr>
          <w:i/>
        </w:rPr>
        <w:t>f</w:t>
      </w:r>
      <w:r w:rsidRPr="001E2065">
        <w:rPr>
          <w:i/>
        </w:rPr>
        <w:t>E</w:t>
      </w:r>
      <w:proofErr w:type="spellEnd"/>
      <w:r w:rsidRPr="001E2065">
        <w:rPr>
          <w:i/>
        </w:rPr>
        <w:t xml:space="preserve"> confirmed a final figure for the 2016/17 copyright licences, which was £0.850m, excluding VAT.  The final figure is therefore £0.350m higher than 2015/16.)</w:t>
      </w:r>
    </w:p>
    <w:p w14:paraId="401C228A" w14:textId="77777777" w:rsidR="004C0042" w:rsidRDefault="004C0042" w:rsidP="004C0042">
      <w:pPr>
        <w:pStyle w:val="ListParagraph"/>
        <w:jc w:val="both"/>
      </w:pPr>
    </w:p>
    <w:p w14:paraId="1265EB6A" w14:textId="67EA2148" w:rsidR="004C0042" w:rsidRPr="002B0A39" w:rsidRDefault="004C0042" w:rsidP="004C0042">
      <w:pPr>
        <w:pStyle w:val="ListParagraph"/>
        <w:numPr>
          <w:ilvl w:val="0"/>
          <w:numId w:val="23"/>
        </w:numPr>
        <w:jc w:val="both"/>
        <w:rPr>
          <w:u w:val="single"/>
        </w:rPr>
      </w:pPr>
      <w:r w:rsidRPr="002B0A39">
        <w:rPr>
          <w:u w:val="single"/>
        </w:rPr>
        <w:t xml:space="preserve">Special Schools </w:t>
      </w:r>
      <w:r w:rsidR="002B0A39" w:rsidRPr="002B0A39">
        <w:rPr>
          <w:u w:val="single"/>
        </w:rPr>
        <w:t xml:space="preserve">Private </w:t>
      </w:r>
      <w:r w:rsidR="002B0A39">
        <w:rPr>
          <w:u w:val="single"/>
        </w:rPr>
        <w:t>F</w:t>
      </w:r>
      <w:r w:rsidR="002B0A39" w:rsidRPr="002B0A39">
        <w:rPr>
          <w:u w:val="single"/>
        </w:rPr>
        <w:t xml:space="preserve">inance </w:t>
      </w:r>
      <w:r w:rsidR="002B0A39">
        <w:rPr>
          <w:u w:val="single"/>
        </w:rPr>
        <w:t>I</w:t>
      </w:r>
      <w:r w:rsidR="002B0A39" w:rsidRPr="002B0A39">
        <w:rPr>
          <w:u w:val="single"/>
        </w:rPr>
        <w:t>nitiative (</w:t>
      </w:r>
      <w:r w:rsidRPr="002B0A39">
        <w:rPr>
          <w:u w:val="single"/>
        </w:rPr>
        <w:t>PFI</w:t>
      </w:r>
      <w:r w:rsidR="002B0A39" w:rsidRPr="002B0A39">
        <w:rPr>
          <w:u w:val="single"/>
        </w:rPr>
        <w:t>)</w:t>
      </w:r>
      <w:r w:rsidRPr="002B0A39">
        <w:rPr>
          <w:u w:val="single"/>
        </w:rPr>
        <w:t xml:space="preserve"> – Increase £0.035m</w:t>
      </w:r>
    </w:p>
    <w:p w14:paraId="6B050ED5" w14:textId="77777777" w:rsidR="004C0042" w:rsidRDefault="004C0042" w:rsidP="004C0042">
      <w:pPr>
        <w:jc w:val="both"/>
      </w:pPr>
    </w:p>
    <w:p w14:paraId="3C16EC9A" w14:textId="77777777" w:rsidR="004C0042" w:rsidRDefault="004C0042" w:rsidP="004C0042">
      <w:pPr>
        <w:ind w:left="720"/>
        <w:jc w:val="both"/>
      </w:pPr>
      <w:r>
        <w:t xml:space="preserve">The </w:t>
      </w:r>
      <w:proofErr w:type="spellStart"/>
      <w:r>
        <w:t>DfE</w:t>
      </w:r>
      <w:proofErr w:type="spellEnd"/>
      <w:r>
        <w:t xml:space="preserve"> amended the Schools and Early Years Finance (England) Regulations to allow the PFI affordability gap funding for special schools to be retained within the High Needs Block central items budget. This is the only way to ensure that this funding will not be re-determined in year with the consequential impact on funding. </w:t>
      </w:r>
    </w:p>
    <w:p w14:paraId="567FA716" w14:textId="77777777" w:rsidR="004C0042" w:rsidRDefault="004C0042" w:rsidP="004C0042">
      <w:pPr>
        <w:ind w:left="720"/>
        <w:jc w:val="both"/>
      </w:pPr>
    </w:p>
    <w:p w14:paraId="7A39DA58" w14:textId="77777777" w:rsidR="004C0042" w:rsidRDefault="004C0042" w:rsidP="004C0042">
      <w:pPr>
        <w:ind w:left="720"/>
        <w:jc w:val="both"/>
      </w:pPr>
      <w:r>
        <w:t>As with all PFI costs they are index linked and vary each year which has resulted in the increase.</w:t>
      </w:r>
    </w:p>
    <w:p w14:paraId="187A5CA1" w14:textId="77777777" w:rsidR="004C0042" w:rsidRDefault="004C0042" w:rsidP="004C0042">
      <w:pPr>
        <w:ind w:left="720"/>
        <w:jc w:val="both"/>
      </w:pPr>
    </w:p>
    <w:p w14:paraId="29404D4E" w14:textId="77777777" w:rsidR="004C0042" w:rsidRPr="00761BD1" w:rsidRDefault="004C0042" w:rsidP="004C0042">
      <w:pPr>
        <w:pStyle w:val="ListParagraph"/>
        <w:numPr>
          <w:ilvl w:val="0"/>
          <w:numId w:val="23"/>
        </w:numPr>
        <w:jc w:val="both"/>
        <w:rPr>
          <w:u w:val="single"/>
        </w:rPr>
      </w:pPr>
      <w:r w:rsidRPr="00761BD1">
        <w:rPr>
          <w:u w:val="single"/>
        </w:rPr>
        <w:t>Growth Fund</w:t>
      </w:r>
      <w:r>
        <w:rPr>
          <w:u w:val="single"/>
        </w:rPr>
        <w:t xml:space="preserve"> – </w:t>
      </w:r>
      <w:r w:rsidRPr="00E70C80">
        <w:rPr>
          <w:u w:val="single"/>
        </w:rPr>
        <w:t>Reduction</w:t>
      </w:r>
      <w:r w:rsidRPr="00761BD1">
        <w:rPr>
          <w:u w:val="single"/>
        </w:rPr>
        <w:t xml:space="preserve"> £0.</w:t>
      </w:r>
      <w:r>
        <w:rPr>
          <w:u w:val="single"/>
        </w:rPr>
        <w:t>078</w:t>
      </w:r>
      <w:r w:rsidRPr="00761BD1">
        <w:rPr>
          <w:u w:val="single"/>
        </w:rPr>
        <w:t>m</w:t>
      </w:r>
    </w:p>
    <w:p w14:paraId="22E26162" w14:textId="77777777" w:rsidR="004C0042" w:rsidRDefault="004C0042" w:rsidP="004C0042">
      <w:pPr>
        <w:jc w:val="both"/>
      </w:pPr>
    </w:p>
    <w:p w14:paraId="61BEC158" w14:textId="77777777" w:rsidR="004C0042" w:rsidRPr="00C16EB8" w:rsidRDefault="004C0042" w:rsidP="004C0042">
      <w:pPr>
        <w:ind w:left="720"/>
        <w:jc w:val="both"/>
      </w:pPr>
      <w:r w:rsidRPr="00C16EB8">
        <w:t xml:space="preserve">The Growth Fund supports schools which are required to provide extra places in order to meet basic need within the authority which varies each year along with the payments to schools. </w:t>
      </w:r>
    </w:p>
    <w:p w14:paraId="6E0C3784" w14:textId="77777777" w:rsidR="004C0042" w:rsidRPr="00C16EB8" w:rsidRDefault="004C0042" w:rsidP="004C0042">
      <w:pPr>
        <w:pStyle w:val="ListParagraph"/>
      </w:pPr>
    </w:p>
    <w:p w14:paraId="0AD572BC" w14:textId="7D9DC8CC" w:rsidR="004B7E1B" w:rsidRPr="00C16EB8" w:rsidRDefault="009625F4" w:rsidP="00D924CC">
      <w:pPr>
        <w:pStyle w:val="Header"/>
        <w:jc w:val="both"/>
        <w:rPr>
          <w:rFonts w:cs="Arial"/>
          <w:b/>
          <w:szCs w:val="24"/>
          <w:u w:val="single"/>
        </w:rPr>
      </w:pPr>
      <w:r w:rsidRPr="00C16EB8">
        <w:t>Subsequent</w:t>
      </w:r>
      <w:r w:rsidR="004B7E1B" w:rsidRPr="00C16EB8">
        <w:t xml:space="preserve"> to agreeing the above Central Expenditure Limit </w:t>
      </w:r>
      <w:r w:rsidRPr="00C16EB8">
        <w:t xml:space="preserve">with </w:t>
      </w:r>
      <w:r w:rsidR="002B0A39">
        <w:t xml:space="preserve">the </w:t>
      </w:r>
      <w:r w:rsidRPr="00C16EB8">
        <w:t>Schools Forum</w:t>
      </w:r>
      <w:r w:rsidR="002B0A39">
        <w:t>,</w:t>
      </w:r>
      <w:r w:rsidRPr="00C16EB8">
        <w:t xml:space="preserve"> </w:t>
      </w:r>
      <w:r w:rsidR="004B7E1B" w:rsidRPr="00C16EB8">
        <w:t xml:space="preserve">the </w:t>
      </w:r>
      <w:proofErr w:type="spellStart"/>
      <w:r w:rsidR="004B7E1B" w:rsidRPr="00C16EB8">
        <w:t>DfE</w:t>
      </w:r>
      <w:proofErr w:type="spellEnd"/>
      <w:r w:rsidR="002B0A39">
        <w:t xml:space="preserve"> has</w:t>
      </w:r>
      <w:r w:rsidR="004B7E1B" w:rsidRPr="00C16EB8">
        <w:t xml:space="preserve"> advised of an additional increase in the copyright license of £0.022m which has been in</w:t>
      </w:r>
      <w:r w:rsidRPr="00C16EB8">
        <w:t>cluded in the allocations table.  Therefore in the allocations table the Central Expenditure Limit has been set at £35.933m.</w:t>
      </w:r>
    </w:p>
    <w:p w14:paraId="2F2E7EFB" w14:textId="77777777" w:rsidR="009625F4" w:rsidRPr="00C16EB8" w:rsidRDefault="009625F4" w:rsidP="00D924CC">
      <w:pPr>
        <w:pStyle w:val="Header"/>
        <w:jc w:val="both"/>
        <w:rPr>
          <w:rFonts w:cs="Arial"/>
          <w:b/>
          <w:szCs w:val="24"/>
          <w:u w:val="single"/>
        </w:rPr>
      </w:pPr>
    </w:p>
    <w:p w14:paraId="25CA3C46" w14:textId="77777777" w:rsidR="00EC03A9" w:rsidRPr="00C16EB8" w:rsidRDefault="00804360" w:rsidP="00D924CC">
      <w:pPr>
        <w:pStyle w:val="Header"/>
        <w:jc w:val="both"/>
        <w:rPr>
          <w:rFonts w:cs="Arial"/>
          <w:b/>
          <w:szCs w:val="24"/>
          <w:u w:val="single"/>
        </w:rPr>
      </w:pPr>
      <w:r w:rsidRPr="00C16EB8">
        <w:rPr>
          <w:rFonts w:cs="Arial"/>
          <w:b/>
          <w:szCs w:val="24"/>
          <w:u w:val="single"/>
        </w:rPr>
        <w:t>Funding Shortfall</w:t>
      </w:r>
    </w:p>
    <w:p w14:paraId="5A772225" w14:textId="4FC904E7" w:rsidR="00EC03A9" w:rsidRPr="00C16EB8" w:rsidRDefault="00EC03A9" w:rsidP="00D924CC">
      <w:pPr>
        <w:pStyle w:val="Header"/>
        <w:jc w:val="both"/>
        <w:rPr>
          <w:rFonts w:cs="Arial"/>
          <w:szCs w:val="24"/>
        </w:rPr>
      </w:pPr>
      <w:r w:rsidRPr="00C16EB8">
        <w:rPr>
          <w:rFonts w:cs="Arial"/>
          <w:szCs w:val="24"/>
        </w:rPr>
        <w:t xml:space="preserve">The table below has taken the figures discussed above for the </w:t>
      </w:r>
      <w:r w:rsidR="009625F4" w:rsidRPr="00C16EB8">
        <w:rPr>
          <w:rFonts w:cs="Arial"/>
          <w:szCs w:val="24"/>
        </w:rPr>
        <w:t xml:space="preserve">forecast </w:t>
      </w:r>
      <w:r w:rsidRPr="00C16EB8">
        <w:rPr>
          <w:rFonts w:cs="Arial"/>
          <w:szCs w:val="24"/>
        </w:rPr>
        <w:t xml:space="preserve">DSG </w:t>
      </w:r>
      <w:r w:rsidR="009625F4" w:rsidRPr="00C16EB8">
        <w:rPr>
          <w:rFonts w:cs="Arial"/>
          <w:szCs w:val="24"/>
        </w:rPr>
        <w:t>income</w:t>
      </w:r>
      <w:r w:rsidRPr="00C16EB8">
        <w:rPr>
          <w:rFonts w:cs="Arial"/>
          <w:szCs w:val="24"/>
        </w:rPr>
        <w:t xml:space="preserve">, the estimate of ISBs and the centrally retained budget to calculate the initial </w:t>
      </w:r>
      <w:r w:rsidR="00804360" w:rsidRPr="00C16EB8">
        <w:rPr>
          <w:rFonts w:cs="Arial"/>
          <w:szCs w:val="24"/>
        </w:rPr>
        <w:t>shortfall in funding</w:t>
      </w:r>
      <w:r w:rsidRPr="00C16EB8">
        <w:rPr>
          <w:rFonts w:cs="Arial"/>
          <w:szCs w:val="24"/>
        </w:rPr>
        <w:t xml:space="preserve"> to the Forum. </w:t>
      </w:r>
      <w:r w:rsidR="009625F4" w:rsidRPr="00C16EB8">
        <w:rPr>
          <w:rFonts w:cs="Arial"/>
          <w:szCs w:val="24"/>
        </w:rPr>
        <w:t xml:space="preserve">Also included is additional funding made available by the Forum from </w:t>
      </w:r>
      <w:proofErr w:type="gramStart"/>
      <w:r w:rsidR="009625F4" w:rsidRPr="00C16EB8">
        <w:rPr>
          <w:rFonts w:cs="Arial"/>
          <w:szCs w:val="24"/>
        </w:rPr>
        <w:t>reserves.</w:t>
      </w:r>
      <w:proofErr w:type="gramEnd"/>
      <w:r w:rsidR="009625F4" w:rsidRPr="00C16EB8">
        <w:rPr>
          <w:rFonts w:cs="Arial"/>
          <w:szCs w:val="24"/>
        </w:rPr>
        <w:t xml:space="preserve"> </w:t>
      </w:r>
      <w:r w:rsidRPr="00C16EB8">
        <w:rPr>
          <w:rFonts w:cs="Arial"/>
          <w:szCs w:val="24"/>
        </w:rPr>
        <w:t>This is detailed in the table below:</w:t>
      </w:r>
    </w:p>
    <w:p w14:paraId="2765C1AE" w14:textId="77777777" w:rsidR="00362E03" w:rsidRPr="00C16EB8" w:rsidRDefault="00362E03" w:rsidP="00D924CC">
      <w:pPr>
        <w:pStyle w:val="Header"/>
        <w:jc w:val="both"/>
        <w:rPr>
          <w:rFonts w:cs="Arial"/>
          <w:szCs w:val="24"/>
        </w:rPr>
      </w:pPr>
    </w:p>
    <w:p w14:paraId="05C3FAB2" w14:textId="77777777" w:rsidR="00362E03" w:rsidRPr="00C16EB8" w:rsidRDefault="00362E03" w:rsidP="00D924CC">
      <w:pPr>
        <w:pStyle w:val="Header"/>
        <w:jc w:val="both"/>
        <w:rPr>
          <w:rFonts w:cs="Arial"/>
          <w:b/>
          <w:szCs w:val="24"/>
          <w:u w:val="single"/>
        </w:rPr>
      </w:pPr>
      <w:r w:rsidRPr="00C16EB8">
        <w:rPr>
          <w:rFonts w:cs="Arial"/>
          <w:b/>
          <w:szCs w:val="24"/>
          <w:u w:val="single"/>
        </w:rPr>
        <w:t>Calculation of funding shortfall</w:t>
      </w:r>
    </w:p>
    <w:p w14:paraId="0A7C3E80" w14:textId="6DCE030F" w:rsidR="00EC03A9" w:rsidRPr="00C16EB8" w:rsidRDefault="00EC03A9" w:rsidP="00D924CC">
      <w:pPr>
        <w:pStyle w:val="ListParagraph"/>
        <w:ind w:left="0"/>
        <w:jc w:val="both"/>
        <w:rPr>
          <w:rFonts w:cs="Arial"/>
        </w:rPr>
      </w:pPr>
    </w:p>
    <w:tbl>
      <w:tblPr>
        <w:tblStyle w:val="TableGrid"/>
        <w:tblW w:w="0" w:type="auto"/>
        <w:tblLook w:val="04A0" w:firstRow="1" w:lastRow="0" w:firstColumn="1" w:lastColumn="0" w:noHBand="0" w:noVBand="1"/>
      </w:tblPr>
      <w:tblGrid>
        <w:gridCol w:w="7650"/>
        <w:gridCol w:w="1366"/>
      </w:tblGrid>
      <w:tr w:rsidR="009625F4" w:rsidRPr="00C16EB8" w14:paraId="532D3B38" w14:textId="77777777" w:rsidTr="000D0032">
        <w:trPr>
          <w:trHeight w:val="285"/>
        </w:trPr>
        <w:tc>
          <w:tcPr>
            <w:tcW w:w="7650" w:type="dxa"/>
            <w:noWrap/>
            <w:hideMark/>
          </w:tcPr>
          <w:p w14:paraId="5B765C49" w14:textId="77777777" w:rsidR="009625F4" w:rsidRPr="00C16EB8" w:rsidRDefault="009625F4" w:rsidP="000D0032">
            <w:pPr>
              <w:jc w:val="both"/>
              <w:rPr>
                <w:rFonts w:ascii="Arial" w:hAnsi="Arial" w:cs="Arial"/>
                <w:sz w:val="22"/>
              </w:rPr>
            </w:pPr>
            <w:r w:rsidRPr="00C16EB8">
              <w:rPr>
                <w:rFonts w:ascii="Arial" w:hAnsi="Arial" w:cs="Arial"/>
                <w:sz w:val="22"/>
              </w:rPr>
              <w:t>Total forecast DSG income funding available 2016/17</w:t>
            </w:r>
          </w:p>
        </w:tc>
        <w:tc>
          <w:tcPr>
            <w:tcW w:w="1366" w:type="dxa"/>
            <w:noWrap/>
            <w:hideMark/>
          </w:tcPr>
          <w:p w14:paraId="66BF47AA" w14:textId="77777777" w:rsidR="009625F4" w:rsidRPr="00C16EB8" w:rsidRDefault="009625F4" w:rsidP="000D0032">
            <w:pPr>
              <w:jc w:val="right"/>
              <w:rPr>
                <w:rFonts w:ascii="Arial" w:hAnsi="Arial" w:cs="Arial"/>
                <w:sz w:val="22"/>
              </w:rPr>
            </w:pPr>
            <w:r w:rsidRPr="00C16EB8">
              <w:rPr>
                <w:rFonts w:ascii="Arial" w:hAnsi="Arial" w:cs="Arial"/>
                <w:sz w:val="22"/>
              </w:rPr>
              <w:t xml:space="preserve">857.813 </w:t>
            </w:r>
          </w:p>
        </w:tc>
      </w:tr>
      <w:tr w:rsidR="009625F4" w:rsidRPr="00C16EB8" w14:paraId="05F10A0D" w14:textId="77777777" w:rsidTr="000D0032">
        <w:trPr>
          <w:trHeight w:val="285"/>
        </w:trPr>
        <w:tc>
          <w:tcPr>
            <w:tcW w:w="7650" w:type="dxa"/>
            <w:noWrap/>
            <w:hideMark/>
          </w:tcPr>
          <w:p w14:paraId="0945B3DB" w14:textId="77777777" w:rsidR="009625F4" w:rsidRPr="00C16EB8" w:rsidRDefault="009625F4" w:rsidP="000D0032">
            <w:pPr>
              <w:jc w:val="both"/>
              <w:rPr>
                <w:rFonts w:ascii="Arial" w:hAnsi="Arial" w:cs="Arial"/>
                <w:sz w:val="22"/>
              </w:rPr>
            </w:pPr>
            <w:r w:rsidRPr="00C16EB8">
              <w:rPr>
                <w:rFonts w:ascii="Arial" w:hAnsi="Arial" w:cs="Arial"/>
                <w:sz w:val="22"/>
              </w:rPr>
              <w:t>Total DSG of Allocations 2016/17</w:t>
            </w:r>
          </w:p>
        </w:tc>
        <w:tc>
          <w:tcPr>
            <w:tcW w:w="1366" w:type="dxa"/>
            <w:noWrap/>
            <w:hideMark/>
          </w:tcPr>
          <w:p w14:paraId="52118A3C" w14:textId="77777777" w:rsidR="009625F4" w:rsidRPr="00C16EB8" w:rsidRDefault="009625F4" w:rsidP="000D0032">
            <w:pPr>
              <w:jc w:val="right"/>
              <w:rPr>
                <w:rFonts w:ascii="Arial" w:hAnsi="Arial" w:cs="Arial"/>
                <w:sz w:val="22"/>
              </w:rPr>
            </w:pPr>
            <w:r w:rsidRPr="00C16EB8">
              <w:rPr>
                <w:rFonts w:ascii="Arial" w:hAnsi="Arial" w:cs="Arial"/>
                <w:sz w:val="22"/>
              </w:rPr>
              <w:t xml:space="preserve">861.270 </w:t>
            </w:r>
          </w:p>
        </w:tc>
      </w:tr>
      <w:tr w:rsidR="009625F4" w:rsidRPr="00C16EB8" w14:paraId="540C0191" w14:textId="77777777" w:rsidTr="000D0032">
        <w:trPr>
          <w:trHeight w:val="480"/>
        </w:trPr>
        <w:tc>
          <w:tcPr>
            <w:tcW w:w="7650" w:type="dxa"/>
            <w:noWrap/>
            <w:hideMark/>
          </w:tcPr>
          <w:p w14:paraId="0B1B3791" w14:textId="77777777" w:rsidR="009625F4" w:rsidRPr="00C16EB8" w:rsidRDefault="009625F4" w:rsidP="000D0032">
            <w:pPr>
              <w:jc w:val="both"/>
              <w:rPr>
                <w:rFonts w:ascii="Arial" w:hAnsi="Arial" w:cs="Arial"/>
                <w:sz w:val="22"/>
              </w:rPr>
            </w:pPr>
          </w:p>
          <w:p w14:paraId="2E2F7AE9" w14:textId="77777777" w:rsidR="009625F4" w:rsidRPr="00C16EB8" w:rsidRDefault="009625F4" w:rsidP="000D0032">
            <w:pPr>
              <w:jc w:val="both"/>
              <w:rPr>
                <w:rFonts w:ascii="Arial" w:hAnsi="Arial" w:cs="Arial"/>
                <w:sz w:val="22"/>
              </w:rPr>
            </w:pPr>
            <w:r w:rsidRPr="00C16EB8">
              <w:rPr>
                <w:rFonts w:ascii="Arial" w:hAnsi="Arial" w:cs="Arial"/>
                <w:sz w:val="22"/>
              </w:rPr>
              <w:t>Surplus/(Shortfall) in funding</w:t>
            </w:r>
          </w:p>
        </w:tc>
        <w:tc>
          <w:tcPr>
            <w:tcW w:w="1366" w:type="dxa"/>
            <w:noWrap/>
            <w:hideMark/>
          </w:tcPr>
          <w:p w14:paraId="6E8B1030" w14:textId="77777777" w:rsidR="009625F4" w:rsidRPr="00C16EB8" w:rsidRDefault="009625F4" w:rsidP="000D0032">
            <w:pPr>
              <w:jc w:val="right"/>
              <w:rPr>
                <w:rFonts w:ascii="Arial" w:hAnsi="Arial" w:cs="Arial"/>
                <w:color w:val="FF0000"/>
                <w:sz w:val="22"/>
              </w:rPr>
            </w:pPr>
          </w:p>
          <w:p w14:paraId="67F8EF94" w14:textId="77777777" w:rsidR="009625F4" w:rsidRPr="00C16EB8" w:rsidRDefault="009625F4" w:rsidP="000D0032">
            <w:pPr>
              <w:jc w:val="right"/>
              <w:rPr>
                <w:rFonts w:ascii="Arial" w:hAnsi="Arial" w:cs="Arial"/>
                <w:sz w:val="22"/>
              </w:rPr>
            </w:pPr>
            <w:r w:rsidRPr="00C16EB8">
              <w:rPr>
                <w:rFonts w:ascii="Arial" w:hAnsi="Arial" w:cs="Arial"/>
                <w:color w:val="FF0000"/>
                <w:sz w:val="22"/>
              </w:rPr>
              <w:t>(3.457)</w:t>
            </w:r>
          </w:p>
        </w:tc>
      </w:tr>
      <w:tr w:rsidR="009625F4" w:rsidRPr="00C16EB8" w14:paraId="4F377BBD" w14:textId="77777777" w:rsidTr="000D0032">
        <w:trPr>
          <w:trHeight w:val="465"/>
        </w:trPr>
        <w:tc>
          <w:tcPr>
            <w:tcW w:w="7650" w:type="dxa"/>
            <w:noWrap/>
            <w:hideMark/>
          </w:tcPr>
          <w:p w14:paraId="6BA4FABB" w14:textId="77777777" w:rsidR="009625F4" w:rsidRPr="00C16EB8" w:rsidRDefault="009625F4" w:rsidP="000D0032">
            <w:pPr>
              <w:jc w:val="both"/>
              <w:rPr>
                <w:rFonts w:ascii="Arial" w:hAnsi="Arial" w:cs="Arial"/>
                <w:sz w:val="22"/>
              </w:rPr>
            </w:pPr>
          </w:p>
          <w:p w14:paraId="3333B6B8" w14:textId="77777777" w:rsidR="009625F4" w:rsidRPr="00C16EB8" w:rsidRDefault="009625F4" w:rsidP="000D0032">
            <w:pPr>
              <w:jc w:val="both"/>
              <w:rPr>
                <w:rFonts w:ascii="Arial" w:hAnsi="Arial" w:cs="Arial"/>
                <w:sz w:val="22"/>
              </w:rPr>
            </w:pPr>
            <w:r w:rsidRPr="00C16EB8">
              <w:rPr>
                <w:rFonts w:ascii="Arial" w:hAnsi="Arial" w:cs="Arial"/>
                <w:sz w:val="22"/>
              </w:rPr>
              <w:t>Allocation of reserves as a one off</w:t>
            </w:r>
          </w:p>
        </w:tc>
        <w:tc>
          <w:tcPr>
            <w:tcW w:w="1366" w:type="dxa"/>
            <w:noWrap/>
            <w:hideMark/>
          </w:tcPr>
          <w:p w14:paraId="61F58224" w14:textId="77777777" w:rsidR="009625F4" w:rsidRPr="00C16EB8" w:rsidRDefault="009625F4" w:rsidP="000D0032">
            <w:pPr>
              <w:jc w:val="right"/>
              <w:rPr>
                <w:rFonts w:ascii="Arial" w:hAnsi="Arial" w:cs="Arial"/>
                <w:sz w:val="22"/>
              </w:rPr>
            </w:pPr>
          </w:p>
          <w:p w14:paraId="228E7BFE" w14:textId="55247D6F" w:rsidR="009625F4" w:rsidRPr="00C16EB8" w:rsidRDefault="009625F4" w:rsidP="00F138B8">
            <w:pPr>
              <w:jc w:val="right"/>
              <w:rPr>
                <w:rFonts w:ascii="Arial" w:hAnsi="Arial" w:cs="Arial"/>
                <w:sz w:val="22"/>
              </w:rPr>
            </w:pPr>
            <w:r w:rsidRPr="00C16EB8">
              <w:rPr>
                <w:rFonts w:ascii="Arial" w:hAnsi="Arial" w:cs="Arial"/>
                <w:sz w:val="22"/>
              </w:rPr>
              <w:t>6.1</w:t>
            </w:r>
            <w:r w:rsidR="00F138B8">
              <w:rPr>
                <w:rFonts w:ascii="Arial" w:hAnsi="Arial" w:cs="Arial"/>
                <w:sz w:val="22"/>
              </w:rPr>
              <w:t>6</w:t>
            </w:r>
            <w:r w:rsidRPr="00C16EB8">
              <w:rPr>
                <w:rFonts w:ascii="Arial" w:hAnsi="Arial" w:cs="Arial"/>
                <w:sz w:val="22"/>
              </w:rPr>
              <w:t xml:space="preserve">4 </w:t>
            </w:r>
          </w:p>
        </w:tc>
      </w:tr>
      <w:tr w:rsidR="009625F4" w:rsidRPr="00C16EB8" w14:paraId="1A658D88" w14:textId="77777777" w:rsidTr="000D0032">
        <w:trPr>
          <w:trHeight w:val="285"/>
        </w:trPr>
        <w:tc>
          <w:tcPr>
            <w:tcW w:w="7650" w:type="dxa"/>
            <w:noWrap/>
            <w:hideMark/>
          </w:tcPr>
          <w:p w14:paraId="1E92F1E8" w14:textId="77777777" w:rsidR="009625F4" w:rsidRPr="00C16EB8" w:rsidRDefault="009625F4" w:rsidP="000D0032">
            <w:pPr>
              <w:jc w:val="both"/>
              <w:rPr>
                <w:rFonts w:ascii="Arial" w:hAnsi="Arial" w:cs="Arial"/>
                <w:sz w:val="22"/>
              </w:rPr>
            </w:pPr>
          </w:p>
          <w:p w14:paraId="06570882" w14:textId="0580C1E8" w:rsidR="009625F4" w:rsidRPr="00C16EB8" w:rsidRDefault="009625F4" w:rsidP="00997E5D">
            <w:pPr>
              <w:jc w:val="both"/>
              <w:rPr>
                <w:rFonts w:ascii="Arial" w:hAnsi="Arial" w:cs="Arial"/>
                <w:sz w:val="22"/>
              </w:rPr>
            </w:pPr>
            <w:r w:rsidRPr="00C16EB8">
              <w:rPr>
                <w:rFonts w:ascii="Arial" w:hAnsi="Arial" w:cs="Arial"/>
                <w:sz w:val="22"/>
              </w:rPr>
              <w:t xml:space="preserve">Remaining reserves to be distributed </w:t>
            </w:r>
          </w:p>
        </w:tc>
        <w:tc>
          <w:tcPr>
            <w:tcW w:w="1366" w:type="dxa"/>
            <w:noWrap/>
            <w:hideMark/>
          </w:tcPr>
          <w:p w14:paraId="53EE11AE" w14:textId="77777777" w:rsidR="009625F4" w:rsidRPr="00C16EB8" w:rsidRDefault="009625F4" w:rsidP="000D0032">
            <w:pPr>
              <w:jc w:val="right"/>
              <w:rPr>
                <w:rFonts w:ascii="Arial" w:hAnsi="Arial" w:cs="Arial"/>
                <w:sz w:val="22"/>
              </w:rPr>
            </w:pPr>
          </w:p>
          <w:p w14:paraId="6F2931BA" w14:textId="625F8B15" w:rsidR="009625F4" w:rsidRPr="00C16EB8" w:rsidRDefault="009625F4" w:rsidP="00F138B8">
            <w:pPr>
              <w:jc w:val="right"/>
              <w:rPr>
                <w:rFonts w:ascii="Arial" w:hAnsi="Arial" w:cs="Arial"/>
                <w:sz w:val="22"/>
              </w:rPr>
            </w:pPr>
            <w:r w:rsidRPr="00C16EB8">
              <w:rPr>
                <w:rFonts w:ascii="Arial" w:hAnsi="Arial" w:cs="Arial"/>
                <w:sz w:val="22"/>
              </w:rPr>
              <w:t>2.</w:t>
            </w:r>
            <w:r w:rsidR="00F138B8">
              <w:rPr>
                <w:rFonts w:ascii="Arial" w:hAnsi="Arial" w:cs="Arial"/>
                <w:sz w:val="22"/>
              </w:rPr>
              <w:t>70</w:t>
            </w:r>
            <w:r w:rsidRPr="00C16EB8">
              <w:rPr>
                <w:rFonts w:ascii="Arial" w:hAnsi="Arial" w:cs="Arial"/>
                <w:sz w:val="22"/>
              </w:rPr>
              <w:t xml:space="preserve">7 </w:t>
            </w:r>
          </w:p>
        </w:tc>
      </w:tr>
    </w:tbl>
    <w:p w14:paraId="4544A5AB" w14:textId="77777777" w:rsidR="00CC6D91" w:rsidRPr="00C16EB8" w:rsidRDefault="00CC6D91" w:rsidP="00D924CC">
      <w:pPr>
        <w:jc w:val="both"/>
        <w:rPr>
          <w:rFonts w:cs="Arial"/>
        </w:rPr>
      </w:pPr>
    </w:p>
    <w:p w14:paraId="75947AB1" w14:textId="77777777" w:rsidR="004B7E1B" w:rsidRPr="00C16EB8" w:rsidRDefault="004B7E1B" w:rsidP="004B7E1B">
      <w:pPr>
        <w:pStyle w:val="Header"/>
        <w:jc w:val="both"/>
        <w:rPr>
          <w:rFonts w:cs="Arial"/>
          <w:szCs w:val="24"/>
          <w:u w:val="single"/>
        </w:rPr>
      </w:pPr>
      <w:r w:rsidRPr="00C16EB8">
        <w:rPr>
          <w:rFonts w:cs="Arial"/>
          <w:szCs w:val="24"/>
          <w:u w:val="single"/>
        </w:rPr>
        <w:t>Allocation of reserves as a one off £6.164m</w:t>
      </w:r>
    </w:p>
    <w:p w14:paraId="5C33D5E1" w14:textId="77777777" w:rsidR="004B7E1B" w:rsidRPr="00C16EB8" w:rsidRDefault="004B7E1B" w:rsidP="004B7E1B">
      <w:pPr>
        <w:pStyle w:val="Header"/>
        <w:jc w:val="both"/>
        <w:rPr>
          <w:rFonts w:cs="Arial"/>
          <w:szCs w:val="24"/>
        </w:rPr>
      </w:pPr>
      <w:r w:rsidRPr="00C16EB8">
        <w:rPr>
          <w:rFonts w:cs="Arial"/>
          <w:szCs w:val="24"/>
        </w:rPr>
        <w:t xml:space="preserve">In July 2015, the Lancashire Schools Forum supported funding held in the DSG reserve over £8.400m being distributed on a one off basis in 2016/17, in accordance with decisions to be taken as part of the budget setting process. Officers have asked the Secretary of State to exempt this one off additional funding from the Minimum Funding Guarantee (MFG). </w:t>
      </w:r>
    </w:p>
    <w:p w14:paraId="4BA10310" w14:textId="292D46E7" w:rsidR="004B7E1B" w:rsidRPr="00C16EB8" w:rsidRDefault="004B7E1B" w:rsidP="002B0A39">
      <w:pPr>
        <w:pStyle w:val="Header"/>
        <w:jc w:val="both"/>
        <w:rPr>
          <w:rFonts w:cs="Arial"/>
          <w:szCs w:val="24"/>
        </w:rPr>
      </w:pPr>
    </w:p>
    <w:p w14:paraId="7AFF4CFC" w14:textId="3F90C048" w:rsidR="004B7E1B" w:rsidRPr="00C16EB8" w:rsidRDefault="00071A72" w:rsidP="004B7E1B">
      <w:pPr>
        <w:pStyle w:val="Header"/>
        <w:jc w:val="both"/>
        <w:rPr>
          <w:rFonts w:cs="Arial"/>
          <w:szCs w:val="24"/>
        </w:rPr>
      </w:pPr>
      <w:r w:rsidRPr="00C16EB8">
        <w:rPr>
          <w:rFonts w:cs="Arial"/>
          <w:szCs w:val="24"/>
        </w:rPr>
        <w:lastRenderedPageBreak/>
        <w:t>In accordance with the School</w:t>
      </w:r>
      <w:r w:rsidR="002B0A39">
        <w:rPr>
          <w:rFonts w:cs="Arial"/>
          <w:szCs w:val="24"/>
        </w:rPr>
        <w:t>s</w:t>
      </w:r>
      <w:r w:rsidRPr="00C16EB8">
        <w:rPr>
          <w:rFonts w:cs="Arial"/>
          <w:szCs w:val="24"/>
        </w:rPr>
        <w:t xml:space="preserve"> Forum decision</w:t>
      </w:r>
      <w:r w:rsidR="002B0A39">
        <w:rPr>
          <w:rFonts w:cs="Arial"/>
          <w:szCs w:val="24"/>
        </w:rPr>
        <w:t>,</w:t>
      </w:r>
      <w:r w:rsidRPr="00C16EB8">
        <w:rPr>
          <w:rFonts w:cs="Arial"/>
          <w:szCs w:val="24"/>
        </w:rPr>
        <w:t xml:space="preserve"> funding of </w:t>
      </w:r>
      <w:r w:rsidR="004B7E1B" w:rsidRPr="00C16EB8">
        <w:rPr>
          <w:rFonts w:cs="Arial"/>
          <w:szCs w:val="24"/>
        </w:rPr>
        <w:t>£6.164m will be distributed</w:t>
      </w:r>
      <w:r w:rsidRPr="00C16EB8">
        <w:rPr>
          <w:rFonts w:cs="Arial"/>
          <w:szCs w:val="24"/>
        </w:rPr>
        <w:t xml:space="preserve"> from reserves.  </w:t>
      </w:r>
      <w:r w:rsidR="002B0A39">
        <w:rPr>
          <w:rFonts w:cs="Arial"/>
          <w:szCs w:val="24"/>
        </w:rPr>
        <w:t xml:space="preserve">The </w:t>
      </w:r>
      <w:r w:rsidRPr="00C16EB8">
        <w:rPr>
          <w:rFonts w:cs="Arial"/>
          <w:szCs w:val="24"/>
        </w:rPr>
        <w:t>School</w:t>
      </w:r>
      <w:r w:rsidR="002B0A39">
        <w:rPr>
          <w:rFonts w:cs="Arial"/>
          <w:szCs w:val="24"/>
        </w:rPr>
        <w:t>s</w:t>
      </w:r>
      <w:r w:rsidRPr="00C16EB8">
        <w:rPr>
          <w:rFonts w:cs="Arial"/>
          <w:szCs w:val="24"/>
        </w:rPr>
        <w:t xml:space="preserve"> Forum agreed that the first call on this this funding would be to offset shortfalls in funding, with any residual amount</w:t>
      </w:r>
      <w:r w:rsidR="004B7E1B" w:rsidRPr="00C16EB8">
        <w:rPr>
          <w:rFonts w:cs="Arial"/>
          <w:szCs w:val="24"/>
        </w:rPr>
        <w:t xml:space="preserve"> </w:t>
      </w:r>
      <w:r w:rsidRPr="00C16EB8">
        <w:rPr>
          <w:rFonts w:cs="Arial"/>
          <w:szCs w:val="24"/>
        </w:rPr>
        <w:t xml:space="preserve">distributed </w:t>
      </w:r>
      <w:r w:rsidR="004B7E1B" w:rsidRPr="00C16EB8">
        <w:rPr>
          <w:rFonts w:cs="Arial"/>
          <w:szCs w:val="24"/>
        </w:rPr>
        <w:t>through the basic pupil element to primary schools, secondary schools and their academy equivalents, top up elements in Special Schools and PRUs, and base rates to Early Years providers.</w:t>
      </w:r>
    </w:p>
    <w:p w14:paraId="4F0FDA93" w14:textId="77777777" w:rsidR="00042F96" w:rsidRPr="00C16EB8" w:rsidRDefault="00042F96" w:rsidP="00D924CC">
      <w:pPr>
        <w:jc w:val="both"/>
        <w:rPr>
          <w:rFonts w:cs="Arial"/>
        </w:rPr>
      </w:pPr>
    </w:p>
    <w:p w14:paraId="2E412154" w14:textId="61C0A8C1" w:rsidR="00EC03A9" w:rsidRPr="00D924CC" w:rsidRDefault="00042F96" w:rsidP="00D924CC">
      <w:pPr>
        <w:jc w:val="both"/>
        <w:rPr>
          <w:rFonts w:cs="Arial"/>
        </w:rPr>
      </w:pPr>
      <w:r w:rsidRPr="00C16EB8">
        <w:rPr>
          <w:rFonts w:cs="Arial"/>
        </w:rPr>
        <w:t xml:space="preserve">Recommendations from the Forum will be </w:t>
      </w:r>
      <w:r w:rsidR="002B0A39">
        <w:rPr>
          <w:rFonts w:cs="Arial"/>
        </w:rPr>
        <w:t xml:space="preserve">presented </w:t>
      </w:r>
      <w:r w:rsidRPr="00C16EB8">
        <w:rPr>
          <w:rFonts w:cs="Arial"/>
        </w:rPr>
        <w:t>at the Cabinet Member Decision Making Session on 1</w:t>
      </w:r>
      <w:r w:rsidR="00067918" w:rsidRPr="00C16EB8">
        <w:rPr>
          <w:rFonts w:cs="Arial"/>
        </w:rPr>
        <w:t>5</w:t>
      </w:r>
      <w:r w:rsidRPr="00C16EB8">
        <w:rPr>
          <w:rFonts w:cs="Arial"/>
        </w:rPr>
        <w:t xml:space="preserve"> January 201</w:t>
      </w:r>
      <w:r w:rsidR="00067918" w:rsidRPr="00C16EB8">
        <w:rPr>
          <w:rFonts w:cs="Arial"/>
        </w:rPr>
        <w:t>6</w:t>
      </w:r>
      <w:r w:rsidRPr="00C16EB8">
        <w:rPr>
          <w:rFonts w:cs="Arial"/>
        </w:rPr>
        <w:t xml:space="preserve">, as </w:t>
      </w:r>
      <w:r w:rsidR="002B0A39">
        <w:rPr>
          <w:rFonts w:cs="Arial"/>
        </w:rPr>
        <w:t xml:space="preserve">an </w:t>
      </w:r>
      <w:r w:rsidRPr="00C16EB8">
        <w:rPr>
          <w:rFonts w:cs="Arial"/>
        </w:rPr>
        <w:t xml:space="preserve">Appendix </w:t>
      </w:r>
      <w:r w:rsidR="002B0A39">
        <w:rPr>
          <w:rFonts w:cs="Arial"/>
        </w:rPr>
        <w:t>'</w:t>
      </w:r>
      <w:r w:rsidRPr="00C16EB8">
        <w:rPr>
          <w:rFonts w:cs="Arial"/>
        </w:rPr>
        <w:t>B</w:t>
      </w:r>
      <w:r w:rsidR="002B0A39">
        <w:rPr>
          <w:rFonts w:cs="Arial"/>
        </w:rPr>
        <w:t>'</w:t>
      </w:r>
      <w:r w:rsidRPr="00C16EB8">
        <w:rPr>
          <w:rFonts w:cs="Arial"/>
        </w:rPr>
        <w:t>.</w:t>
      </w:r>
      <w:r w:rsidR="00EC03A9" w:rsidRPr="00D924CC">
        <w:rPr>
          <w:rFonts w:cs="Arial"/>
        </w:rPr>
        <w:br w:type="page"/>
      </w:r>
    </w:p>
    <w:p w14:paraId="13A86AE3" w14:textId="77777777" w:rsidR="00EC03A9" w:rsidRPr="00D924CC" w:rsidRDefault="00EC03A9" w:rsidP="00D924CC">
      <w:pPr>
        <w:pStyle w:val="Header"/>
        <w:jc w:val="both"/>
        <w:rPr>
          <w:rFonts w:cs="Arial"/>
          <w:szCs w:val="24"/>
        </w:rPr>
      </w:pPr>
    </w:p>
    <w:p w14:paraId="3F193200" w14:textId="77777777" w:rsidR="00EC03A9" w:rsidRPr="00D924CC" w:rsidRDefault="00EC03A9" w:rsidP="00042F96">
      <w:pPr>
        <w:jc w:val="right"/>
        <w:rPr>
          <w:rFonts w:cs="Arial"/>
          <w:b/>
        </w:rPr>
      </w:pPr>
      <w:r w:rsidRPr="00D924CC">
        <w:rPr>
          <w:rFonts w:cs="Arial"/>
          <w:b/>
        </w:rPr>
        <w:t>Annex A</w:t>
      </w:r>
    </w:p>
    <w:p w14:paraId="449FF1EE" w14:textId="77777777" w:rsidR="00EC03A9" w:rsidRPr="00D924CC" w:rsidRDefault="00EC03A9" w:rsidP="00D924CC">
      <w:pPr>
        <w:jc w:val="both"/>
        <w:rPr>
          <w:rFonts w:cs="Arial"/>
          <w:b/>
        </w:rPr>
      </w:pPr>
    </w:p>
    <w:p w14:paraId="47111FB0" w14:textId="1527A629" w:rsidR="00EC03A9" w:rsidRPr="00D924CC" w:rsidRDefault="002B0A39" w:rsidP="00042F96">
      <w:pPr>
        <w:jc w:val="center"/>
        <w:rPr>
          <w:rFonts w:cs="Arial"/>
          <w:b/>
        </w:rPr>
      </w:pPr>
      <w:r w:rsidRPr="00D924CC">
        <w:rPr>
          <w:rFonts w:cs="Arial"/>
          <w:b/>
        </w:rPr>
        <w:t xml:space="preserve">School Funding Formulae </w:t>
      </w:r>
      <w:r>
        <w:rPr>
          <w:rFonts w:cs="Arial"/>
          <w:b/>
        </w:rPr>
        <w:t>2016/17</w:t>
      </w:r>
    </w:p>
    <w:p w14:paraId="76F96FD0" w14:textId="77777777" w:rsidR="00EC03A9" w:rsidRPr="00D924CC" w:rsidRDefault="00EC03A9" w:rsidP="00D924CC">
      <w:pPr>
        <w:jc w:val="both"/>
        <w:rPr>
          <w:rFonts w:cs="Arial"/>
          <w:b/>
          <w:u w:val="single"/>
        </w:rPr>
      </w:pPr>
    </w:p>
    <w:p w14:paraId="66B9E11C" w14:textId="77777777" w:rsidR="00115513" w:rsidRPr="00D924CC" w:rsidRDefault="00864286" w:rsidP="00D924CC">
      <w:pPr>
        <w:pStyle w:val="NoSpacing"/>
        <w:jc w:val="both"/>
      </w:pPr>
      <w:r w:rsidRPr="00D924CC">
        <w:t>The</w:t>
      </w:r>
      <w:r w:rsidR="00115513" w:rsidRPr="00D924CC">
        <w:t xml:space="preserve"> Authority's </w:t>
      </w:r>
      <w:r w:rsidR="004C0042">
        <w:t>2016/17</w:t>
      </w:r>
      <w:r w:rsidR="00215660" w:rsidRPr="00D924CC">
        <w:t xml:space="preserve"> Schools Bock </w:t>
      </w:r>
      <w:r w:rsidR="00115513" w:rsidRPr="00D924CC">
        <w:t>funding formula contains the following factors:</w:t>
      </w:r>
    </w:p>
    <w:p w14:paraId="03FDD048" w14:textId="77777777" w:rsidR="00115513" w:rsidRPr="00D924CC" w:rsidRDefault="00115513" w:rsidP="00D924CC">
      <w:pPr>
        <w:pStyle w:val="NoSpacing"/>
        <w:jc w:val="both"/>
      </w:pPr>
    </w:p>
    <w:p w14:paraId="3B2C1D38" w14:textId="77777777" w:rsidR="00115513" w:rsidRPr="00D924CC" w:rsidRDefault="00115513" w:rsidP="00D924CC">
      <w:pPr>
        <w:pStyle w:val="NoSpacing"/>
        <w:numPr>
          <w:ilvl w:val="0"/>
          <w:numId w:val="6"/>
        </w:numPr>
        <w:jc w:val="both"/>
      </w:pPr>
      <w:r w:rsidRPr="00D924CC">
        <w:t>A basic per-pupil element, one rate for the primary phase and another for the secondary phase;</w:t>
      </w:r>
    </w:p>
    <w:p w14:paraId="2669B6A0" w14:textId="77777777" w:rsidR="00115513" w:rsidRPr="00D924CC" w:rsidRDefault="00115513" w:rsidP="00D924CC">
      <w:pPr>
        <w:pStyle w:val="NoSpacing"/>
        <w:numPr>
          <w:ilvl w:val="0"/>
          <w:numId w:val="6"/>
        </w:numPr>
        <w:jc w:val="both"/>
      </w:pPr>
      <w:r w:rsidRPr="00D924CC">
        <w:t>Deprivation, measured by Free School Meals EVER6</w:t>
      </w:r>
      <w:r w:rsidR="0085021C" w:rsidRPr="00D924CC">
        <w:t xml:space="preserve"> (FSM6) </w:t>
      </w:r>
      <w:r w:rsidRPr="00D924CC">
        <w:t xml:space="preserve">and Income Deprivation Affecting Children Index (IDACI); </w:t>
      </w:r>
    </w:p>
    <w:p w14:paraId="408FE454" w14:textId="77777777" w:rsidR="00115513" w:rsidRPr="00D924CC" w:rsidRDefault="00115513" w:rsidP="00D924CC">
      <w:pPr>
        <w:pStyle w:val="NoSpacing"/>
        <w:numPr>
          <w:ilvl w:val="0"/>
          <w:numId w:val="6"/>
        </w:numPr>
        <w:jc w:val="both"/>
      </w:pPr>
      <w:r w:rsidRPr="00D924CC">
        <w:t xml:space="preserve">Looked after children; </w:t>
      </w:r>
    </w:p>
    <w:p w14:paraId="6B3739F0" w14:textId="77777777" w:rsidR="00115513" w:rsidRPr="00D924CC" w:rsidRDefault="00115513" w:rsidP="00D924CC">
      <w:pPr>
        <w:pStyle w:val="NoSpacing"/>
        <w:numPr>
          <w:ilvl w:val="0"/>
          <w:numId w:val="6"/>
        </w:numPr>
        <w:jc w:val="both"/>
      </w:pPr>
      <w:r w:rsidRPr="00D924CC">
        <w:t xml:space="preserve">Prior attainment as a proxy measure for SEN; </w:t>
      </w:r>
    </w:p>
    <w:p w14:paraId="40B69AB5" w14:textId="77777777" w:rsidR="00115513" w:rsidRPr="00D924CC" w:rsidRDefault="00115513" w:rsidP="00D924CC">
      <w:pPr>
        <w:pStyle w:val="NoSpacing"/>
        <w:numPr>
          <w:ilvl w:val="0"/>
          <w:numId w:val="6"/>
        </w:numPr>
        <w:jc w:val="both"/>
      </w:pPr>
      <w:r w:rsidRPr="00D924CC">
        <w:t xml:space="preserve">English as an additional language, for a period of 3 years; </w:t>
      </w:r>
    </w:p>
    <w:p w14:paraId="3859E899" w14:textId="77777777" w:rsidR="00115513" w:rsidRPr="00D924CC" w:rsidRDefault="00115513" w:rsidP="00D924CC">
      <w:pPr>
        <w:pStyle w:val="NoSpacing"/>
        <w:numPr>
          <w:ilvl w:val="0"/>
          <w:numId w:val="6"/>
        </w:numPr>
        <w:jc w:val="both"/>
      </w:pPr>
      <w:r w:rsidRPr="00D924CC">
        <w:t xml:space="preserve">A lump sum for each </w:t>
      </w:r>
      <w:r w:rsidR="0085021C" w:rsidRPr="00D924CC">
        <w:t xml:space="preserve">primary </w:t>
      </w:r>
      <w:r w:rsidRPr="00D924CC">
        <w:t>school</w:t>
      </w:r>
      <w:r w:rsidR="0085021C" w:rsidRPr="00D924CC">
        <w:t xml:space="preserve"> and a lump sum for each secondary school</w:t>
      </w:r>
      <w:r w:rsidRPr="00D924CC">
        <w:t xml:space="preserve">; </w:t>
      </w:r>
    </w:p>
    <w:p w14:paraId="6C3CFD10" w14:textId="77777777" w:rsidR="00115513" w:rsidRPr="00D924CC" w:rsidRDefault="00115513" w:rsidP="00D924CC">
      <w:pPr>
        <w:pStyle w:val="NoSpacing"/>
        <w:numPr>
          <w:ilvl w:val="0"/>
          <w:numId w:val="6"/>
        </w:numPr>
        <w:jc w:val="both"/>
      </w:pPr>
      <w:r w:rsidRPr="00D924CC">
        <w:t xml:space="preserve">Split sites; </w:t>
      </w:r>
    </w:p>
    <w:p w14:paraId="7AC53396" w14:textId="77777777" w:rsidR="00115513" w:rsidRPr="00D924CC" w:rsidRDefault="00115513" w:rsidP="00D924CC">
      <w:pPr>
        <w:pStyle w:val="NoSpacing"/>
        <w:numPr>
          <w:ilvl w:val="0"/>
          <w:numId w:val="6"/>
        </w:numPr>
        <w:jc w:val="both"/>
      </w:pPr>
      <w:r w:rsidRPr="00D924CC">
        <w:t>Rates;</w:t>
      </w:r>
    </w:p>
    <w:p w14:paraId="7A590D88" w14:textId="77777777" w:rsidR="00115513" w:rsidRPr="00D924CC" w:rsidRDefault="00115513" w:rsidP="00D924CC">
      <w:pPr>
        <w:pStyle w:val="NoSpacing"/>
        <w:numPr>
          <w:ilvl w:val="0"/>
          <w:numId w:val="6"/>
        </w:numPr>
        <w:jc w:val="both"/>
      </w:pPr>
      <w:r w:rsidRPr="00D924CC">
        <w:t xml:space="preserve">Sixth form; </w:t>
      </w:r>
    </w:p>
    <w:p w14:paraId="456906FA" w14:textId="37109795" w:rsidR="00115513" w:rsidRPr="00D924CC" w:rsidRDefault="00115513" w:rsidP="00D924CC">
      <w:pPr>
        <w:pStyle w:val="NoSpacing"/>
        <w:numPr>
          <w:ilvl w:val="0"/>
          <w:numId w:val="6"/>
        </w:numPr>
        <w:jc w:val="both"/>
      </w:pPr>
      <w:r w:rsidRPr="00D924CC">
        <w:t xml:space="preserve">PFI contracts. </w:t>
      </w:r>
    </w:p>
    <w:p w14:paraId="693D864D" w14:textId="77777777" w:rsidR="00115513" w:rsidRPr="00D924CC" w:rsidRDefault="00115513" w:rsidP="00D924CC">
      <w:pPr>
        <w:pStyle w:val="NoSpacing"/>
        <w:jc w:val="both"/>
      </w:pPr>
    </w:p>
    <w:p w14:paraId="78561DDF" w14:textId="77777777" w:rsidR="00115513" w:rsidRPr="00D924CC" w:rsidRDefault="00115513" w:rsidP="00D924CC">
      <w:pPr>
        <w:pStyle w:val="NoSpacing"/>
        <w:jc w:val="both"/>
      </w:pPr>
      <w:r w:rsidRPr="00D924CC">
        <w:t xml:space="preserve">A Pupil Mobility factor and a Sparsity factor were also available in the national framework, but it was decided not to use these factors in Lancashire. </w:t>
      </w:r>
    </w:p>
    <w:p w14:paraId="1AC4F56A" w14:textId="77777777" w:rsidR="00115513" w:rsidRPr="00D924CC" w:rsidRDefault="00115513" w:rsidP="00D924CC">
      <w:pPr>
        <w:pStyle w:val="NoSpacing"/>
        <w:jc w:val="both"/>
      </w:pPr>
    </w:p>
    <w:p w14:paraId="1107B1A9" w14:textId="52B74EBA" w:rsidR="00115513" w:rsidRPr="00D924CC" w:rsidRDefault="00115513" w:rsidP="00D924CC">
      <w:pPr>
        <w:pStyle w:val="ListParagraph"/>
        <w:tabs>
          <w:tab w:val="left" w:pos="1635"/>
        </w:tabs>
        <w:ind w:left="0"/>
        <w:jc w:val="both"/>
        <w:rPr>
          <w:rFonts w:cs="Arial"/>
        </w:rPr>
      </w:pPr>
      <w:r w:rsidRPr="00D924CC">
        <w:rPr>
          <w:rFonts w:cs="Arial"/>
        </w:rPr>
        <w:t>Authorities were also allowed to ask the EFA to approve a limited number of premises related exceptional formula factors, if they met the following criteria:</w:t>
      </w:r>
    </w:p>
    <w:p w14:paraId="6F37652D" w14:textId="77777777" w:rsidR="00115513" w:rsidRPr="00D924CC" w:rsidRDefault="00115513" w:rsidP="00D924CC">
      <w:pPr>
        <w:pStyle w:val="ListParagraph"/>
        <w:tabs>
          <w:tab w:val="left" w:pos="1635"/>
        </w:tabs>
        <w:ind w:left="0"/>
        <w:jc w:val="both"/>
        <w:rPr>
          <w:rFonts w:cs="Arial"/>
        </w:rPr>
      </w:pPr>
    </w:p>
    <w:p w14:paraId="3B3165CF" w14:textId="77777777" w:rsidR="00115513" w:rsidRPr="00D924CC" w:rsidRDefault="00115513" w:rsidP="00D924CC">
      <w:pPr>
        <w:pStyle w:val="ListParagraph"/>
        <w:numPr>
          <w:ilvl w:val="0"/>
          <w:numId w:val="5"/>
        </w:numPr>
        <w:tabs>
          <w:tab w:val="left" w:pos="1635"/>
        </w:tabs>
        <w:ind w:left="720"/>
        <w:contextualSpacing w:val="0"/>
        <w:jc w:val="both"/>
        <w:rPr>
          <w:rFonts w:cs="Arial"/>
        </w:rPr>
      </w:pPr>
      <w:r w:rsidRPr="00D924CC">
        <w:rPr>
          <w:rFonts w:cs="Arial"/>
        </w:rPr>
        <w:t xml:space="preserve">Apply to less than 5% of </w:t>
      </w:r>
      <w:r w:rsidR="004C0042">
        <w:rPr>
          <w:rFonts w:cs="Arial"/>
        </w:rPr>
        <w:t xml:space="preserve">schools </w:t>
      </w:r>
      <w:r w:rsidRPr="00D924CC">
        <w:rPr>
          <w:rFonts w:cs="Arial"/>
        </w:rPr>
        <w:t>in the local authority; and</w:t>
      </w:r>
    </w:p>
    <w:p w14:paraId="711B96C7" w14:textId="77777777" w:rsidR="00115513" w:rsidRPr="00D924CC" w:rsidRDefault="00115513" w:rsidP="00D924CC">
      <w:pPr>
        <w:pStyle w:val="ListParagraph"/>
        <w:numPr>
          <w:ilvl w:val="0"/>
          <w:numId w:val="5"/>
        </w:numPr>
        <w:tabs>
          <w:tab w:val="left" w:pos="1635"/>
        </w:tabs>
        <w:ind w:left="720"/>
        <w:contextualSpacing w:val="0"/>
        <w:jc w:val="both"/>
        <w:rPr>
          <w:rFonts w:cs="Arial"/>
        </w:rPr>
      </w:pPr>
      <w:r w:rsidRPr="00D924CC">
        <w:rPr>
          <w:rFonts w:cs="Arial"/>
        </w:rPr>
        <w:t>Account for more than 1% of the budget of the school or schools affected.</w:t>
      </w:r>
    </w:p>
    <w:p w14:paraId="4A7455AA" w14:textId="77777777" w:rsidR="00115513" w:rsidRPr="00D924CC" w:rsidRDefault="00115513" w:rsidP="00D924CC">
      <w:pPr>
        <w:pStyle w:val="ListParagraph"/>
        <w:tabs>
          <w:tab w:val="left" w:pos="1635"/>
        </w:tabs>
        <w:ind w:left="0"/>
        <w:jc w:val="both"/>
        <w:rPr>
          <w:rFonts w:cs="Arial"/>
        </w:rPr>
      </w:pPr>
    </w:p>
    <w:p w14:paraId="6C0740E2" w14:textId="77777777" w:rsidR="00115513" w:rsidRPr="00D924CC" w:rsidRDefault="00115513" w:rsidP="00D924CC">
      <w:pPr>
        <w:pStyle w:val="ListParagraph"/>
        <w:tabs>
          <w:tab w:val="left" w:pos="1635"/>
        </w:tabs>
        <w:ind w:left="0"/>
        <w:jc w:val="both"/>
        <w:rPr>
          <w:rFonts w:cs="Arial"/>
        </w:rPr>
      </w:pPr>
      <w:r w:rsidRPr="00D924CC">
        <w:rPr>
          <w:rFonts w:cs="Arial"/>
        </w:rPr>
        <w:t>Lancashire was successful in applying for a Rents factor under this process.</w:t>
      </w:r>
    </w:p>
    <w:p w14:paraId="5994A438" w14:textId="77777777" w:rsidR="00115513" w:rsidRPr="00D924CC" w:rsidRDefault="00115513" w:rsidP="00D924CC">
      <w:pPr>
        <w:jc w:val="both"/>
        <w:rPr>
          <w:rFonts w:cs="Arial"/>
          <w:b/>
          <w:u w:val="single"/>
        </w:rPr>
      </w:pPr>
    </w:p>
    <w:p w14:paraId="366CEBA9" w14:textId="77777777" w:rsidR="00215660" w:rsidRPr="00D924CC" w:rsidRDefault="00215660" w:rsidP="00D924CC">
      <w:pPr>
        <w:jc w:val="both"/>
        <w:rPr>
          <w:rFonts w:cs="Arial"/>
          <w:b/>
          <w:u w:val="single"/>
        </w:rPr>
      </w:pPr>
      <w:r w:rsidRPr="00D924CC">
        <w:rPr>
          <w:rFonts w:cs="Arial"/>
          <w:b/>
          <w:u w:val="single"/>
        </w:rPr>
        <w:t>High Needs Block (HNB) fun</w:t>
      </w:r>
      <w:r w:rsidR="000C1B5D" w:rsidRPr="00D924CC">
        <w:rPr>
          <w:rFonts w:cs="Arial"/>
          <w:b/>
          <w:u w:val="single"/>
        </w:rPr>
        <w:t>ding for S</w:t>
      </w:r>
      <w:r w:rsidR="00864286" w:rsidRPr="00D924CC">
        <w:rPr>
          <w:rFonts w:cs="Arial"/>
          <w:b/>
          <w:u w:val="single"/>
        </w:rPr>
        <w:t xml:space="preserve">pecial </w:t>
      </w:r>
      <w:r w:rsidR="000C1B5D" w:rsidRPr="00D924CC">
        <w:rPr>
          <w:rFonts w:cs="Arial"/>
          <w:b/>
          <w:u w:val="single"/>
        </w:rPr>
        <w:t>S</w:t>
      </w:r>
      <w:r w:rsidR="00864286" w:rsidRPr="00D924CC">
        <w:rPr>
          <w:rFonts w:cs="Arial"/>
          <w:b/>
          <w:u w:val="single"/>
        </w:rPr>
        <w:t xml:space="preserve">chools </w:t>
      </w:r>
      <w:r w:rsidR="004C0042">
        <w:rPr>
          <w:rFonts w:cs="Arial"/>
          <w:b/>
          <w:u w:val="single"/>
        </w:rPr>
        <w:t>2016/17</w:t>
      </w:r>
    </w:p>
    <w:p w14:paraId="0B997AC7" w14:textId="77777777" w:rsidR="00215660" w:rsidRPr="00D924CC" w:rsidRDefault="00215660" w:rsidP="00D924CC">
      <w:pPr>
        <w:jc w:val="both"/>
        <w:rPr>
          <w:rFonts w:cs="Arial"/>
        </w:rPr>
      </w:pPr>
    </w:p>
    <w:p w14:paraId="1A07E99B" w14:textId="77777777" w:rsidR="00215660" w:rsidRPr="00D924CC" w:rsidRDefault="00215660" w:rsidP="00D924CC">
      <w:pPr>
        <w:jc w:val="both"/>
        <w:rPr>
          <w:rFonts w:cs="Arial"/>
          <w:b/>
        </w:rPr>
      </w:pPr>
      <w:r w:rsidRPr="00D924CC">
        <w:rPr>
          <w:rFonts w:cs="Arial"/>
          <w:b/>
        </w:rPr>
        <w:t>There are three sources of funding:</w:t>
      </w:r>
    </w:p>
    <w:p w14:paraId="3C999376" w14:textId="77777777" w:rsidR="00215660" w:rsidRPr="00D924CC" w:rsidRDefault="00215660" w:rsidP="00D924CC">
      <w:pPr>
        <w:pStyle w:val="ListParagraph"/>
        <w:numPr>
          <w:ilvl w:val="0"/>
          <w:numId w:val="3"/>
        </w:numPr>
        <w:jc w:val="both"/>
        <w:rPr>
          <w:rFonts w:cs="Arial"/>
        </w:rPr>
      </w:pPr>
      <w:r w:rsidRPr="00D924CC">
        <w:rPr>
          <w:rFonts w:cs="Arial"/>
        </w:rPr>
        <w:t>Lancashire HNB</w:t>
      </w:r>
    </w:p>
    <w:p w14:paraId="6ABAD986" w14:textId="77777777" w:rsidR="00215660" w:rsidRPr="00D924CC" w:rsidRDefault="00215660" w:rsidP="00D924CC">
      <w:pPr>
        <w:pStyle w:val="ListParagraph"/>
        <w:numPr>
          <w:ilvl w:val="0"/>
          <w:numId w:val="3"/>
        </w:numPr>
        <w:jc w:val="both"/>
        <w:rPr>
          <w:rFonts w:cs="Arial"/>
        </w:rPr>
      </w:pPr>
      <w:r w:rsidRPr="00D924CC">
        <w:rPr>
          <w:rFonts w:cs="Arial"/>
        </w:rPr>
        <w:t>EFA</w:t>
      </w:r>
    </w:p>
    <w:p w14:paraId="1D37EAB5" w14:textId="77777777" w:rsidR="00215660" w:rsidRPr="00D924CC" w:rsidRDefault="00215660" w:rsidP="00D924CC">
      <w:pPr>
        <w:pStyle w:val="ListParagraph"/>
        <w:numPr>
          <w:ilvl w:val="0"/>
          <w:numId w:val="3"/>
        </w:numPr>
        <w:jc w:val="both"/>
        <w:rPr>
          <w:rFonts w:cs="Arial"/>
        </w:rPr>
      </w:pPr>
      <w:r w:rsidRPr="00D924CC">
        <w:rPr>
          <w:rFonts w:cs="Arial"/>
        </w:rPr>
        <w:t>Other commissioners / authorities</w:t>
      </w:r>
    </w:p>
    <w:p w14:paraId="0533F35B" w14:textId="77777777" w:rsidR="00215660" w:rsidRPr="00D924CC" w:rsidRDefault="00215660" w:rsidP="00D924CC">
      <w:pPr>
        <w:jc w:val="both"/>
        <w:rPr>
          <w:rFonts w:cs="Arial"/>
        </w:rPr>
      </w:pPr>
    </w:p>
    <w:p w14:paraId="350B961E" w14:textId="42226D1D" w:rsidR="00215660" w:rsidRPr="00D924CC" w:rsidRDefault="00215660" w:rsidP="00D924CC">
      <w:pPr>
        <w:pStyle w:val="ListParagraph"/>
        <w:numPr>
          <w:ilvl w:val="0"/>
          <w:numId w:val="4"/>
        </w:numPr>
        <w:jc w:val="both"/>
        <w:rPr>
          <w:rFonts w:cs="Arial"/>
        </w:rPr>
      </w:pPr>
      <w:r w:rsidRPr="00D924CC">
        <w:rPr>
          <w:rFonts w:cs="Arial"/>
        </w:rPr>
        <w:t>Lancashire HNB funding has</w:t>
      </w:r>
      <w:r w:rsidR="002B0A39">
        <w:rPr>
          <w:rFonts w:cs="Arial"/>
        </w:rPr>
        <w:t xml:space="preserve"> the following </w:t>
      </w:r>
      <w:r w:rsidRPr="00D924CC">
        <w:rPr>
          <w:rFonts w:cs="Arial"/>
        </w:rPr>
        <w:t>components</w:t>
      </w:r>
      <w:r w:rsidR="002B0A39">
        <w:rPr>
          <w:rFonts w:cs="Arial"/>
        </w:rPr>
        <w:t>:</w:t>
      </w:r>
    </w:p>
    <w:p w14:paraId="188ACF3F" w14:textId="77777777" w:rsidR="00215660" w:rsidRPr="00D924CC" w:rsidRDefault="00215660" w:rsidP="00D924CC">
      <w:pPr>
        <w:pStyle w:val="ListParagraph"/>
        <w:numPr>
          <w:ilvl w:val="0"/>
          <w:numId w:val="1"/>
        </w:numPr>
        <w:jc w:val="both"/>
        <w:rPr>
          <w:rFonts w:cs="Arial"/>
        </w:rPr>
      </w:pPr>
      <w:r w:rsidRPr="00D924CC">
        <w:rPr>
          <w:rFonts w:cs="Arial"/>
        </w:rPr>
        <w:t>Base</w:t>
      </w:r>
      <w:r w:rsidR="00864286" w:rsidRPr="00D924CC">
        <w:rPr>
          <w:rFonts w:cs="Arial"/>
        </w:rPr>
        <w:t xml:space="preserve"> funding for all pre 16 places</w:t>
      </w:r>
      <w:r w:rsidRPr="00D924CC">
        <w:rPr>
          <w:rFonts w:cs="Arial"/>
        </w:rPr>
        <w:t xml:space="preserve"> funded at £10,000 per place.</w:t>
      </w:r>
    </w:p>
    <w:p w14:paraId="203D6F44" w14:textId="1CE233A4" w:rsidR="00215660" w:rsidRPr="00D924CC" w:rsidRDefault="00215660" w:rsidP="00D924CC">
      <w:pPr>
        <w:pStyle w:val="ListParagraph"/>
        <w:numPr>
          <w:ilvl w:val="0"/>
          <w:numId w:val="1"/>
        </w:numPr>
        <w:jc w:val="both"/>
        <w:rPr>
          <w:rFonts w:cs="Arial"/>
        </w:rPr>
      </w:pPr>
      <w:r w:rsidRPr="00D924CC">
        <w:rPr>
          <w:rFonts w:cs="Arial"/>
        </w:rPr>
        <w:t>Top up funding for pre and post 16 Lancashire pupils comprising of</w:t>
      </w:r>
      <w:r w:rsidR="006D0DBC">
        <w:rPr>
          <w:rFonts w:cs="Arial"/>
        </w:rPr>
        <w:t>:</w:t>
      </w:r>
    </w:p>
    <w:p w14:paraId="6FE25333" w14:textId="77777777" w:rsidR="00215660" w:rsidRPr="00D924CC" w:rsidRDefault="00215660" w:rsidP="00D924CC">
      <w:pPr>
        <w:pStyle w:val="ListParagraph"/>
        <w:numPr>
          <w:ilvl w:val="1"/>
          <w:numId w:val="1"/>
        </w:numPr>
        <w:jc w:val="both"/>
        <w:rPr>
          <w:rFonts w:cs="Arial"/>
        </w:rPr>
      </w:pPr>
      <w:r w:rsidRPr="00D924CC">
        <w:rPr>
          <w:rFonts w:cs="Arial"/>
        </w:rPr>
        <w:t>WPN</w:t>
      </w:r>
    </w:p>
    <w:p w14:paraId="589EC104" w14:textId="77777777" w:rsidR="00215660" w:rsidRPr="00D924CC" w:rsidRDefault="00215660" w:rsidP="00D924CC">
      <w:pPr>
        <w:pStyle w:val="ListParagraph"/>
        <w:numPr>
          <w:ilvl w:val="1"/>
          <w:numId w:val="1"/>
        </w:numPr>
        <w:jc w:val="both"/>
        <w:rPr>
          <w:rFonts w:cs="Arial"/>
        </w:rPr>
      </w:pPr>
      <w:r w:rsidRPr="00D924CC">
        <w:rPr>
          <w:rFonts w:cs="Arial"/>
        </w:rPr>
        <w:t>School specific</w:t>
      </w:r>
    </w:p>
    <w:p w14:paraId="5D5F8919" w14:textId="77777777" w:rsidR="00215660" w:rsidRDefault="00215660" w:rsidP="00D924CC">
      <w:pPr>
        <w:pStyle w:val="ListParagraph"/>
        <w:numPr>
          <w:ilvl w:val="0"/>
          <w:numId w:val="1"/>
        </w:numPr>
        <w:jc w:val="both"/>
        <w:rPr>
          <w:rFonts w:cs="Arial"/>
        </w:rPr>
      </w:pPr>
      <w:r w:rsidRPr="00D924CC">
        <w:rPr>
          <w:rFonts w:cs="Arial"/>
        </w:rPr>
        <w:t xml:space="preserve">Pre 16 place related top up funding </w:t>
      </w:r>
    </w:p>
    <w:p w14:paraId="351B6B56" w14:textId="77777777" w:rsidR="00215660" w:rsidRDefault="009F0648" w:rsidP="00854ECC">
      <w:pPr>
        <w:pStyle w:val="ListParagraph"/>
        <w:numPr>
          <w:ilvl w:val="0"/>
          <w:numId w:val="1"/>
        </w:numPr>
        <w:jc w:val="both"/>
        <w:rPr>
          <w:rFonts w:cs="Arial"/>
        </w:rPr>
      </w:pPr>
      <w:r>
        <w:rPr>
          <w:rFonts w:cs="Arial"/>
        </w:rPr>
        <w:t>Post 16 place related top up funding</w:t>
      </w:r>
    </w:p>
    <w:p w14:paraId="2CE3DE77" w14:textId="77777777" w:rsidR="006D0DBC" w:rsidRPr="009F0648" w:rsidRDefault="006D0DBC" w:rsidP="006D0DBC">
      <w:pPr>
        <w:pStyle w:val="ListParagraph"/>
        <w:ind w:left="1080"/>
        <w:jc w:val="both"/>
        <w:rPr>
          <w:rFonts w:cs="Arial"/>
        </w:rPr>
      </w:pPr>
    </w:p>
    <w:p w14:paraId="77F18141" w14:textId="77777777" w:rsidR="00215660" w:rsidRPr="00D924CC" w:rsidRDefault="00215660" w:rsidP="00D924CC">
      <w:pPr>
        <w:pStyle w:val="ListParagraph"/>
        <w:numPr>
          <w:ilvl w:val="0"/>
          <w:numId w:val="4"/>
        </w:numPr>
        <w:jc w:val="both"/>
        <w:rPr>
          <w:rFonts w:cs="Arial"/>
        </w:rPr>
      </w:pPr>
      <w:r w:rsidRPr="00D924CC">
        <w:rPr>
          <w:rFonts w:cs="Arial"/>
        </w:rPr>
        <w:t>EFA – Post 16</w:t>
      </w:r>
    </w:p>
    <w:p w14:paraId="06F8919A" w14:textId="77777777" w:rsidR="00215660" w:rsidRPr="00D924CC" w:rsidRDefault="00215660" w:rsidP="00D924CC">
      <w:pPr>
        <w:pStyle w:val="ListParagraph"/>
        <w:numPr>
          <w:ilvl w:val="0"/>
          <w:numId w:val="2"/>
        </w:numPr>
        <w:jc w:val="both"/>
        <w:rPr>
          <w:rFonts w:cs="Arial"/>
        </w:rPr>
      </w:pPr>
      <w:r w:rsidRPr="00D924CC">
        <w:rPr>
          <w:rFonts w:cs="Arial"/>
        </w:rPr>
        <w:t xml:space="preserve">Base </w:t>
      </w:r>
      <w:proofErr w:type="gramStart"/>
      <w:r w:rsidRPr="00D924CC">
        <w:rPr>
          <w:rFonts w:cs="Arial"/>
        </w:rPr>
        <w:t>Funding</w:t>
      </w:r>
      <w:proofErr w:type="gramEnd"/>
      <w:r w:rsidRPr="00D924CC">
        <w:rPr>
          <w:rFonts w:cs="Arial"/>
        </w:rPr>
        <w:t xml:space="preserve"> for all post 16 pupils, this is the equivalent of the £10,000, the value is calculated by the EFA and </w:t>
      </w:r>
      <w:proofErr w:type="spellStart"/>
      <w:r w:rsidRPr="00D924CC">
        <w:rPr>
          <w:rFonts w:cs="Arial"/>
        </w:rPr>
        <w:t>passported</w:t>
      </w:r>
      <w:proofErr w:type="spellEnd"/>
      <w:r w:rsidRPr="00D924CC">
        <w:rPr>
          <w:rFonts w:cs="Arial"/>
        </w:rPr>
        <w:t xml:space="preserve"> through the </w:t>
      </w:r>
      <w:r w:rsidR="00864286" w:rsidRPr="00D924CC">
        <w:rPr>
          <w:rFonts w:cs="Arial"/>
        </w:rPr>
        <w:t xml:space="preserve">authority to schools. </w:t>
      </w:r>
    </w:p>
    <w:p w14:paraId="08F68582" w14:textId="77777777" w:rsidR="00215660" w:rsidRPr="00D924CC" w:rsidRDefault="00215660" w:rsidP="00D924CC">
      <w:pPr>
        <w:jc w:val="both"/>
        <w:rPr>
          <w:rFonts w:cs="Arial"/>
        </w:rPr>
      </w:pPr>
    </w:p>
    <w:p w14:paraId="746C876B" w14:textId="77777777" w:rsidR="00215660" w:rsidRPr="00D924CC" w:rsidRDefault="00215660" w:rsidP="00D924CC">
      <w:pPr>
        <w:pStyle w:val="ListParagraph"/>
        <w:numPr>
          <w:ilvl w:val="0"/>
          <w:numId w:val="4"/>
        </w:numPr>
        <w:jc w:val="both"/>
        <w:rPr>
          <w:rFonts w:cs="Arial"/>
        </w:rPr>
      </w:pPr>
      <w:r w:rsidRPr="00D924CC">
        <w:rPr>
          <w:rFonts w:cs="Arial"/>
        </w:rPr>
        <w:t>Other commissioners / authorities</w:t>
      </w:r>
    </w:p>
    <w:p w14:paraId="029400BF" w14:textId="3CDA4470" w:rsidR="00215660" w:rsidRPr="00D924CC" w:rsidRDefault="00215660" w:rsidP="00D924CC">
      <w:pPr>
        <w:pStyle w:val="ListParagraph"/>
        <w:numPr>
          <w:ilvl w:val="0"/>
          <w:numId w:val="1"/>
        </w:numPr>
        <w:jc w:val="both"/>
        <w:rPr>
          <w:rFonts w:cs="Arial"/>
        </w:rPr>
      </w:pPr>
      <w:r w:rsidRPr="00D924CC">
        <w:rPr>
          <w:rFonts w:cs="Arial"/>
        </w:rPr>
        <w:t>Top up funding for other commissioners / authorities pupils in a commissioned place in a Lancashire school, this top up will comprise of</w:t>
      </w:r>
      <w:r w:rsidR="006D0DBC">
        <w:rPr>
          <w:rFonts w:cs="Arial"/>
        </w:rPr>
        <w:t>:</w:t>
      </w:r>
    </w:p>
    <w:p w14:paraId="02ED5005" w14:textId="77777777" w:rsidR="00215660" w:rsidRPr="00D924CC" w:rsidRDefault="00215660" w:rsidP="00D924CC">
      <w:pPr>
        <w:pStyle w:val="ListParagraph"/>
        <w:numPr>
          <w:ilvl w:val="1"/>
          <w:numId w:val="1"/>
        </w:numPr>
        <w:jc w:val="both"/>
        <w:rPr>
          <w:rFonts w:cs="Arial"/>
        </w:rPr>
      </w:pPr>
      <w:r w:rsidRPr="00D924CC">
        <w:rPr>
          <w:rFonts w:cs="Arial"/>
        </w:rPr>
        <w:t>WPN</w:t>
      </w:r>
    </w:p>
    <w:p w14:paraId="65237EDF" w14:textId="77777777" w:rsidR="00215660" w:rsidRPr="00D924CC" w:rsidRDefault="00215660" w:rsidP="00D924CC">
      <w:pPr>
        <w:pStyle w:val="ListParagraph"/>
        <w:numPr>
          <w:ilvl w:val="1"/>
          <w:numId w:val="1"/>
        </w:numPr>
        <w:jc w:val="both"/>
        <w:rPr>
          <w:rFonts w:cs="Arial"/>
        </w:rPr>
      </w:pPr>
      <w:r w:rsidRPr="00D924CC">
        <w:rPr>
          <w:rFonts w:cs="Arial"/>
        </w:rPr>
        <w:t>School specific</w:t>
      </w:r>
    </w:p>
    <w:p w14:paraId="7BD1E480" w14:textId="77777777" w:rsidR="00215660" w:rsidRPr="00D924CC" w:rsidRDefault="00215660" w:rsidP="00D924CC">
      <w:pPr>
        <w:pStyle w:val="ListParagraph"/>
        <w:numPr>
          <w:ilvl w:val="0"/>
          <w:numId w:val="1"/>
        </w:numPr>
        <w:jc w:val="both"/>
        <w:rPr>
          <w:rFonts w:cs="Arial"/>
        </w:rPr>
      </w:pPr>
      <w:r w:rsidRPr="00D924CC">
        <w:rPr>
          <w:rFonts w:cs="Arial"/>
        </w:rPr>
        <w:t>The financial responsibility / risk for the recoupment of this funding is t</w:t>
      </w:r>
      <w:r w:rsidR="00864286" w:rsidRPr="00D924CC">
        <w:rPr>
          <w:rFonts w:cs="Arial"/>
        </w:rPr>
        <w:t>he responsibility of the school.</w:t>
      </w:r>
    </w:p>
    <w:p w14:paraId="3E37F3F1" w14:textId="77777777" w:rsidR="00864286" w:rsidRPr="00D924CC" w:rsidRDefault="00864286" w:rsidP="00D924CC">
      <w:pPr>
        <w:pStyle w:val="ListParagraph"/>
        <w:ind w:left="1080"/>
        <w:jc w:val="both"/>
        <w:rPr>
          <w:rFonts w:cs="Arial"/>
        </w:rPr>
      </w:pPr>
    </w:p>
    <w:p w14:paraId="03963EB2" w14:textId="77777777" w:rsidR="00215660" w:rsidRPr="00D924CC" w:rsidRDefault="00215660" w:rsidP="00D924CC">
      <w:pPr>
        <w:jc w:val="both"/>
        <w:rPr>
          <w:rFonts w:cs="Arial"/>
          <w:b/>
        </w:rPr>
      </w:pPr>
      <w:r w:rsidRPr="00D924CC">
        <w:rPr>
          <w:rFonts w:cs="Arial"/>
          <w:b/>
        </w:rPr>
        <w:t>Lancashire funding – how it is calculated</w:t>
      </w:r>
    </w:p>
    <w:p w14:paraId="35EFD37C" w14:textId="77777777" w:rsidR="00215660" w:rsidRPr="00D924CC" w:rsidRDefault="00215660" w:rsidP="00D924CC">
      <w:pPr>
        <w:jc w:val="both"/>
        <w:rPr>
          <w:rFonts w:cs="Arial"/>
        </w:rPr>
      </w:pPr>
    </w:p>
    <w:p w14:paraId="4C9104F4" w14:textId="77777777" w:rsidR="00215660" w:rsidRPr="00D924CC" w:rsidRDefault="00215660" w:rsidP="00D924CC">
      <w:pPr>
        <w:jc w:val="both"/>
        <w:rPr>
          <w:rFonts w:cs="Arial"/>
          <w:b/>
        </w:rPr>
      </w:pPr>
      <w:r w:rsidRPr="00D924CC">
        <w:rPr>
          <w:rFonts w:cs="Arial"/>
          <w:b/>
        </w:rPr>
        <w:t xml:space="preserve">Pre 16 Base funding </w:t>
      </w:r>
    </w:p>
    <w:p w14:paraId="7277D45D" w14:textId="77777777" w:rsidR="00215660" w:rsidRPr="00D924CC" w:rsidRDefault="00215660" w:rsidP="00D924CC">
      <w:pPr>
        <w:jc w:val="both"/>
        <w:rPr>
          <w:rFonts w:cs="Arial"/>
        </w:rPr>
      </w:pPr>
      <w:r w:rsidRPr="00D924CC">
        <w:rPr>
          <w:rFonts w:cs="Arial"/>
        </w:rPr>
        <w:t xml:space="preserve">This is based on the number of pre 16 places </w:t>
      </w:r>
      <w:r w:rsidR="00864286" w:rsidRPr="00D924CC">
        <w:rPr>
          <w:rFonts w:cs="Arial"/>
        </w:rPr>
        <w:t>a</w:t>
      </w:r>
      <w:r w:rsidRPr="00D924CC">
        <w:rPr>
          <w:rFonts w:cs="Arial"/>
        </w:rPr>
        <w:t>nd will include any places taken by pupils from out of authority. Base funding is fixed for the year and will not be re-determined within the year.</w:t>
      </w:r>
    </w:p>
    <w:p w14:paraId="7A1AD7D0" w14:textId="77777777" w:rsidR="00215660" w:rsidRPr="00D924CC" w:rsidRDefault="00215660" w:rsidP="00D924CC">
      <w:pPr>
        <w:jc w:val="both"/>
        <w:rPr>
          <w:rFonts w:cs="Arial"/>
        </w:rPr>
      </w:pPr>
    </w:p>
    <w:p w14:paraId="72D63348" w14:textId="77777777" w:rsidR="00215660" w:rsidRPr="00D924CC" w:rsidRDefault="00215660" w:rsidP="00D924CC">
      <w:pPr>
        <w:jc w:val="both"/>
        <w:rPr>
          <w:rFonts w:cs="Arial"/>
          <w:b/>
        </w:rPr>
      </w:pPr>
      <w:r w:rsidRPr="00D924CC">
        <w:rPr>
          <w:rFonts w:cs="Arial"/>
          <w:b/>
        </w:rPr>
        <w:t>Lancashire pupil related top up funding (pre and post 16)</w:t>
      </w:r>
    </w:p>
    <w:p w14:paraId="1E7A4094" w14:textId="77777777" w:rsidR="00215660" w:rsidRPr="00D924CC" w:rsidRDefault="00215660" w:rsidP="00D924CC">
      <w:pPr>
        <w:jc w:val="both"/>
        <w:rPr>
          <w:rFonts w:cs="Arial"/>
        </w:rPr>
      </w:pPr>
      <w:r w:rsidRPr="00D924CC">
        <w:rPr>
          <w:rFonts w:cs="Arial"/>
        </w:rPr>
        <w:t>This</w:t>
      </w:r>
      <w:r w:rsidRPr="00D924CC">
        <w:rPr>
          <w:rFonts w:cs="Arial"/>
          <w:b/>
        </w:rPr>
        <w:t xml:space="preserve"> </w:t>
      </w:r>
      <w:r w:rsidRPr="00D924CC">
        <w:rPr>
          <w:rFonts w:cs="Arial"/>
        </w:rPr>
        <w:t xml:space="preserve">will be re-determined up or down termly in line with the SEN counts in June, November and February. </w:t>
      </w:r>
    </w:p>
    <w:p w14:paraId="530C2523" w14:textId="77777777" w:rsidR="00215660" w:rsidRPr="00D924CC" w:rsidRDefault="00215660" w:rsidP="00D924CC">
      <w:pPr>
        <w:pStyle w:val="ListParagraph"/>
        <w:numPr>
          <w:ilvl w:val="0"/>
          <w:numId w:val="1"/>
        </w:numPr>
        <w:jc w:val="both"/>
        <w:rPr>
          <w:rFonts w:cs="Arial"/>
        </w:rPr>
      </w:pPr>
      <w:r w:rsidRPr="00D924CC">
        <w:rPr>
          <w:rFonts w:cs="Arial"/>
        </w:rPr>
        <w:t>WPN funding will be allocated for the total WPN of all Pre and Post 16 Lancashire pupils. The WPN's funded are net of the 2.5 WPN (the amount relating to the value of up to £10,000)</w:t>
      </w:r>
    </w:p>
    <w:p w14:paraId="13F99279" w14:textId="77777777" w:rsidR="00215660" w:rsidRPr="00D924CC" w:rsidRDefault="00215660" w:rsidP="00D924CC">
      <w:pPr>
        <w:pStyle w:val="ListParagraph"/>
        <w:numPr>
          <w:ilvl w:val="0"/>
          <w:numId w:val="1"/>
        </w:numPr>
        <w:jc w:val="both"/>
        <w:rPr>
          <w:rFonts w:cs="Arial"/>
        </w:rPr>
      </w:pPr>
      <w:r w:rsidRPr="00D924CC">
        <w:rPr>
          <w:rFonts w:cs="Arial"/>
        </w:rPr>
        <w:t xml:space="preserve">School specific funding will </w:t>
      </w:r>
      <w:r w:rsidR="004041A2">
        <w:rPr>
          <w:rFonts w:cs="Arial"/>
        </w:rPr>
        <w:t xml:space="preserve">be </w:t>
      </w:r>
      <w:r w:rsidRPr="00D924CC">
        <w:rPr>
          <w:rFonts w:cs="Arial"/>
        </w:rPr>
        <w:t>allocated to the total number of all pre and post 16 Lancashire pupils on the SEN count.</w:t>
      </w:r>
    </w:p>
    <w:p w14:paraId="6874EEDE" w14:textId="77777777" w:rsidR="00215660" w:rsidRPr="00D924CC" w:rsidRDefault="00215660" w:rsidP="00D924CC">
      <w:pPr>
        <w:pStyle w:val="ListParagraph"/>
        <w:jc w:val="both"/>
        <w:rPr>
          <w:rFonts w:cs="Arial"/>
        </w:rPr>
      </w:pPr>
    </w:p>
    <w:p w14:paraId="68FC9C5A" w14:textId="77777777" w:rsidR="00215660" w:rsidRPr="00D924CC" w:rsidRDefault="00215660" w:rsidP="00D924CC">
      <w:pPr>
        <w:jc w:val="both"/>
        <w:rPr>
          <w:rFonts w:cs="Arial"/>
          <w:b/>
        </w:rPr>
      </w:pPr>
      <w:r w:rsidRPr="00D924CC">
        <w:rPr>
          <w:rFonts w:cs="Arial"/>
          <w:b/>
        </w:rPr>
        <w:t xml:space="preserve">Pre 16 place related top up funding </w:t>
      </w:r>
    </w:p>
    <w:p w14:paraId="3E072381" w14:textId="77777777" w:rsidR="00215660" w:rsidRDefault="00215660" w:rsidP="00D924CC">
      <w:pPr>
        <w:jc w:val="both"/>
        <w:rPr>
          <w:rFonts w:cs="Arial"/>
        </w:rPr>
      </w:pPr>
      <w:r w:rsidRPr="00D924CC">
        <w:rPr>
          <w:rFonts w:cs="Arial"/>
        </w:rPr>
        <w:t xml:space="preserve">This will be re-determined termly in line with the SEN count terms but using the school census dates in </w:t>
      </w:r>
      <w:r w:rsidR="004041A2">
        <w:t>January, May and October</w:t>
      </w:r>
      <w:r w:rsidRPr="00D924CC">
        <w:rPr>
          <w:rFonts w:cs="Arial"/>
        </w:rPr>
        <w:t xml:space="preserve">. This funding will be allocated on a pro rata termly basis. If the total number of pre 16 pupils on the census exceeds the number of pre 16 base funded places then the school / academy will receive an additional £10,000 pro rata for that term for each place above that funded in the </w:t>
      </w:r>
      <w:proofErr w:type="spellStart"/>
      <w:r w:rsidRPr="00D924CC">
        <w:rPr>
          <w:rFonts w:cs="Arial"/>
        </w:rPr>
        <w:t>pre 16</w:t>
      </w:r>
      <w:proofErr w:type="spellEnd"/>
      <w:r w:rsidRPr="00D924CC">
        <w:rPr>
          <w:rFonts w:cs="Arial"/>
        </w:rPr>
        <w:t xml:space="preserve"> base funding.</w:t>
      </w:r>
    </w:p>
    <w:p w14:paraId="32E9DA8A" w14:textId="77777777" w:rsidR="004B46BA" w:rsidRPr="00D924CC" w:rsidRDefault="004B46BA" w:rsidP="00D924CC">
      <w:pPr>
        <w:jc w:val="both"/>
        <w:rPr>
          <w:rFonts w:cs="Arial"/>
        </w:rPr>
      </w:pPr>
    </w:p>
    <w:p w14:paraId="5071AF55" w14:textId="77777777" w:rsidR="00215660" w:rsidRPr="009F59A6" w:rsidRDefault="004B46BA" w:rsidP="00D924CC">
      <w:pPr>
        <w:jc w:val="both"/>
        <w:rPr>
          <w:rFonts w:cs="Arial"/>
          <w:b/>
        </w:rPr>
      </w:pPr>
      <w:r w:rsidRPr="009F59A6">
        <w:rPr>
          <w:rFonts w:cs="Arial"/>
          <w:b/>
        </w:rPr>
        <w:t>Post 16 place related top up funding</w:t>
      </w:r>
    </w:p>
    <w:p w14:paraId="3460297F" w14:textId="77777777" w:rsidR="004B46BA" w:rsidRPr="009F59A6" w:rsidRDefault="00215660" w:rsidP="00D924CC">
      <w:pPr>
        <w:jc w:val="both"/>
        <w:rPr>
          <w:rFonts w:cs="Arial"/>
        </w:rPr>
      </w:pPr>
      <w:r w:rsidRPr="009F59A6">
        <w:rPr>
          <w:rFonts w:cs="Arial"/>
        </w:rPr>
        <w:t xml:space="preserve">It should be noted that </w:t>
      </w:r>
      <w:r w:rsidR="004B46BA" w:rsidRPr="009F59A6">
        <w:rPr>
          <w:rFonts w:cs="Arial"/>
        </w:rPr>
        <w:t xml:space="preserve">Lancashire does not receive the EFA </w:t>
      </w:r>
      <w:r w:rsidR="000E55F8" w:rsidRPr="009F59A6">
        <w:rPr>
          <w:rFonts w:cs="Arial"/>
        </w:rPr>
        <w:t xml:space="preserve">base funding </w:t>
      </w:r>
      <w:r w:rsidR="004B46BA" w:rsidRPr="009F59A6">
        <w:rPr>
          <w:rFonts w:cs="Arial"/>
        </w:rPr>
        <w:t>allocation for the number of Post 16 places agreed and paid for by the EFA.</w:t>
      </w:r>
    </w:p>
    <w:p w14:paraId="6824A9E7" w14:textId="77777777" w:rsidR="004B46BA" w:rsidRPr="009F59A6" w:rsidRDefault="004B46BA" w:rsidP="00D924CC">
      <w:pPr>
        <w:jc w:val="both"/>
        <w:rPr>
          <w:rFonts w:cs="Arial"/>
        </w:rPr>
      </w:pPr>
    </w:p>
    <w:p w14:paraId="6196E8AB" w14:textId="77777777" w:rsidR="004B46BA" w:rsidRPr="009F59A6" w:rsidRDefault="004B46BA" w:rsidP="00D924CC">
      <w:pPr>
        <w:jc w:val="both"/>
        <w:rPr>
          <w:rFonts w:cs="Arial"/>
        </w:rPr>
      </w:pPr>
      <w:r w:rsidRPr="009F59A6">
        <w:rPr>
          <w:rFonts w:cs="Arial"/>
        </w:rPr>
        <w:t xml:space="preserve">The EFA </w:t>
      </w:r>
      <w:r w:rsidR="000E55F8" w:rsidRPr="009F59A6">
        <w:rPr>
          <w:rFonts w:cs="Arial"/>
        </w:rPr>
        <w:t xml:space="preserve">Post 16 </w:t>
      </w:r>
      <w:r w:rsidRPr="009F59A6">
        <w:rPr>
          <w:rFonts w:cs="Arial"/>
        </w:rPr>
        <w:t xml:space="preserve">places were agreed several years ago and do not </w:t>
      </w:r>
      <w:r w:rsidR="000E55F8" w:rsidRPr="009F59A6">
        <w:rPr>
          <w:rFonts w:cs="Arial"/>
        </w:rPr>
        <w:t xml:space="preserve">now </w:t>
      </w:r>
      <w:r w:rsidRPr="009F59A6">
        <w:rPr>
          <w:rFonts w:cs="Arial"/>
        </w:rPr>
        <w:t>always represent the number of places required</w:t>
      </w:r>
      <w:r w:rsidR="000E55F8" w:rsidRPr="009F59A6">
        <w:rPr>
          <w:rFonts w:cs="Arial"/>
        </w:rPr>
        <w:t xml:space="preserve"> by the authority</w:t>
      </w:r>
      <w:r w:rsidRPr="009F59A6">
        <w:rPr>
          <w:rFonts w:cs="Arial"/>
        </w:rPr>
        <w:t xml:space="preserve">.  In addition the EFA have </w:t>
      </w:r>
      <w:r w:rsidR="000E55F8" w:rsidRPr="009F59A6">
        <w:rPr>
          <w:rFonts w:cs="Arial"/>
        </w:rPr>
        <w:t>also amended</w:t>
      </w:r>
      <w:r w:rsidRPr="009F59A6">
        <w:rPr>
          <w:rFonts w:cs="Arial"/>
        </w:rPr>
        <w:t xml:space="preserve"> their guidance on the funding of additional Post 16 places.</w:t>
      </w:r>
    </w:p>
    <w:p w14:paraId="7568DB95" w14:textId="77777777" w:rsidR="004B46BA" w:rsidRPr="009F59A6" w:rsidRDefault="004B46BA" w:rsidP="00D924CC">
      <w:pPr>
        <w:jc w:val="both"/>
        <w:rPr>
          <w:rFonts w:cs="Arial"/>
        </w:rPr>
      </w:pPr>
    </w:p>
    <w:p w14:paraId="5498A899" w14:textId="77777777" w:rsidR="00F2593F" w:rsidRDefault="00F2593F" w:rsidP="00F2593F">
      <w:pPr>
        <w:rPr>
          <w:szCs w:val="22"/>
        </w:rPr>
      </w:pPr>
      <w:r w:rsidRPr="009F59A6">
        <w:t>The EFA Post 16 places for Special Schools were agreed several years ago and do not now always represent the number of places required by the authority.  In addition</w:t>
      </w:r>
      <w:r>
        <w:t xml:space="preserve"> the EFA have facilitated FE post 16 growth for 2016/17 along with amending their guidance on the funding of additional Post 16 places.</w:t>
      </w:r>
    </w:p>
    <w:p w14:paraId="0E5E2D32" w14:textId="77777777" w:rsidR="00F2593F" w:rsidRPr="00854ECC" w:rsidRDefault="00F2593F" w:rsidP="00D924CC">
      <w:pPr>
        <w:jc w:val="both"/>
        <w:rPr>
          <w:rFonts w:cs="Arial"/>
          <w:highlight w:val="lightGray"/>
        </w:rPr>
      </w:pPr>
    </w:p>
    <w:p w14:paraId="52BCDFCF" w14:textId="77777777" w:rsidR="00215660" w:rsidRPr="00D924CC" w:rsidRDefault="004B46BA" w:rsidP="00D924CC">
      <w:pPr>
        <w:jc w:val="both"/>
        <w:rPr>
          <w:rFonts w:cs="Arial"/>
        </w:rPr>
      </w:pPr>
      <w:r w:rsidRPr="00C16EB8">
        <w:rPr>
          <w:rFonts w:cs="Arial"/>
        </w:rPr>
        <w:t>A</w:t>
      </w:r>
      <w:r w:rsidR="00215660" w:rsidRPr="00C16EB8">
        <w:rPr>
          <w:rFonts w:cs="Arial"/>
        </w:rPr>
        <w:t xml:space="preserve">s a consequence of this Lancashire </w:t>
      </w:r>
      <w:r w:rsidR="000E55F8" w:rsidRPr="00C16EB8">
        <w:rPr>
          <w:rFonts w:cs="Arial"/>
        </w:rPr>
        <w:t>has reviewed its policy and where it is agreed that additional Post 16 places need commissioning, top up funding will be provided.</w:t>
      </w:r>
    </w:p>
    <w:p w14:paraId="32E2EBA1" w14:textId="77777777" w:rsidR="00215660" w:rsidRDefault="00215660" w:rsidP="00D924CC">
      <w:pPr>
        <w:jc w:val="both"/>
        <w:rPr>
          <w:rFonts w:cs="Arial"/>
        </w:rPr>
      </w:pPr>
    </w:p>
    <w:p w14:paraId="158FB832" w14:textId="77777777" w:rsidR="00104CE1" w:rsidRDefault="00104CE1" w:rsidP="00D924CC">
      <w:pPr>
        <w:jc w:val="both"/>
        <w:rPr>
          <w:rFonts w:cs="Arial"/>
        </w:rPr>
      </w:pPr>
    </w:p>
    <w:p w14:paraId="459A1E18" w14:textId="77777777" w:rsidR="00104CE1" w:rsidRPr="00D924CC" w:rsidRDefault="00104CE1" w:rsidP="00D924CC">
      <w:pPr>
        <w:jc w:val="both"/>
        <w:rPr>
          <w:rFonts w:cs="Arial"/>
        </w:rPr>
      </w:pPr>
    </w:p>
    <w:p w14:paraId="46765AC0" w14:textId="77777777" w:rsidR="00215660" w:rsidRPr="00D924CC" w:rsidRDefault="00215660" w:rsidP="00D924CC">
      <w:pPr>
        <w:jc w:val="both"/>
        <w:rPr>
          <w:rFonts w:cs="Arial"/>
          <w:b/>
        </w:rPr>
      </w:pPr>
      <w:r w:rsidRPr="00D924CC">
        <w:rPr>
          <w:rFonts w:cs="Arial"/>
          <w:b/>
        </w:rPr>
        <w:t>Funded terms</w:t>
      </w:r>
    </w:p>
    <w:p w14:paraId="45845ABB" w14:textId="77777777" w:rsidR="00215660" w:rsidRPr="00D924CC" w:rsidRDefault="00215660" w:rsidP="00D924CC">
      <w:pPr>
        <w:jc w:val="both"/>
        <w:rPr>
          <w:rFonts w:cs="Arial"/>
        </w:rPr>
      </w:pPr>
    </w:p>
    <w:tbl>
      <w:tblPr>
        <w:tblStyle w:val="TableGrid"/>
        <w:tblW w:w="0" w:type="auto"/>
        <w:tblLook w:val="04A0" w:firstRow="1" w:lastRow="0" w:firstColumn="1" w:lastColumn="0" w:noHBand="0" w:noVBand="1"/>
      </w:tblPr>
      <w:tblGrid>
        <w:gridCol w:w="1880"/>
        <w:gridCol w:w="1880"/>
        <w:gridCol w:w="1880"/>
      </w:tblGrid>
      <w:tr w:rsidR="00215660" w:rsidRPr="004041A2" w14:paraId="6D355A87" w14:textId="77777777" w:rsidTr="00F95898">
        <w:trPr>
          <w:trHeight w:val="510"/>
        </w:trPr>
        <w:tc>
          <w:tcPr>
            <w:tcW w:w="1880" w:type="dxa"/>
            <w:hideMark/>
          </w:tcPr>
          <w:p w14:paraId="01998FC1" w14:textId="77777777" w:rsidR="00215660" w:rsidRPr="004041A2" w:rsidRDefault="00215660" w:rsidP="00D924CC">
            <w:pPr>
              <w:jc w:val="both"/>
              <w:rPr>
                <w:rFonts w:ascii="Arial" w:hAnsi="Arial" w:cs="Arial"/>
                <w:sz w:val="24"/>
              </w:rPr>
            </w:pPr>
            <w:r w:rsidRPr="004041A2">
              <w:rPr>
                <w:rFonts w:ascii="Arial" w:hAnsi="Arial" w:cs="Arial"/>
                <w:sz w:val="24"/>
              </w:rPr>
              <w:t>April - August</w:t>
            </w:r>
          </w:p>
        </w:tc>
        <w:tc>
          <w:tcPr>
            <w:tcW w:w="1880" w:type="dxa"/>
            <w:hideMark/>
          </w:tcPr>
          <w:p w14:paraId="7B2C8E17" w14:textId="77777777" w:rsidR="00215660" w:rsidRPr="004041A2" w:rsidRDefault="00215660" w:rsidP="00D924CC">
            <w:pPr>
              <w:jc w:val="both"/>
              <w:rPr>
                <w:rFonts w:ascii="Arial" w:hAnsi="Arial" w:cs="Arial"/>
                <w:sz w:val="24"/>
              </w:rPr>
            </w:pPr>
            <w:r w:rsidRPr="004041A2">
              <w:rPr>
                <w:rFonts w:ascii="Arial" w:hAnsi="Arial" w:cs="Arial"/>
                <w:sz w:val="24"/>
              </w:rPr>
              <w:t>September - December</w:t>
            </w:r>
          </w:p>
        </w:tc>
        <w:tc>
          <w:tcPr>
            <w:tcW w:w="1880" w:type="dxa"/>
            <w:hideMark/>
          </w:tcPr>
          <w:p w14:paraId="77540449" w14:textId="77777777" w:rsidR="00215660" w:rsidRPr="004041A2" w:rsidRDefault="00215660" w:rsidP="00D924CC">
            <w:pPr>
              <w:jc w:val="both"/>
              <w:rPr>
                <w:rFonts w:ascii="Arial" w:hAnsi="Arial" w:cs="Arial"/>
                <w:sz w:val="24"/>
              </w:rPr>
            </w:pPr>
            <w:r w:rsidRPr="004041A2">
              <w:rPr>
                <w:rFonts w:ascii="Arial" w:hAnsi="Arial" w:cs="Arial"/>
                <w:sz w:val="24"/>
              </w:rPr>
              <w:t>January - March</w:t>
            </w:r>
          </w:p>
        </w:tc>
      </w:tr>
      <w:tr w:rsidR="00215660" w:rsidRPr="00D924CC" w14:paraId="7C3248A4" w14:textId="77777777" w:rsidTr="00F95898">
        <w:trPr>
          <w:trHeight w:val="255"/>
        </w:trPr>
        <w:tc>
          <w:tcPr>
            <w:tcW w:w="1880" w:type="dxa"/>
            <w:noWrap/>
            <w:hideMark/>
          </w:tcPr>
          <w:p w14:paraId="32DEF08B" w14:textId="77777777" w:rsidR="00215660" w:rsidRPr="004041A2" w:rsidRDefault="00215660" w:rsidP="00D924CC">
            <w:pPr>
              <w:jc w:val="both"/>
              <w:rPr>
                <w:rFonts w:ascii="Arial" w:hAnsi="Arial" w:cs="Arial"/>
                <w:sz w:val="24"/>
              </w:rPr>
            </w:pPr>
            <w:r w:rsidRPr="004041A2">
              <w:rPr>
                <w:rFonts w:ascii="Arial" w:hAnsi="Arial" w:cs="Arial"/>
                <w:sz w:val="24"/>
              </w:rPr>
              <w:t>5/12</w:t>
            </w:r>
          </w:p>
        </w:tc>
        <w:tc>
          <w:tcPr>
            <w:tcW w:w="1880" w:type="dxa"/>
            <w:noWrap/>
            <w:hideMark/>
          </w:tcPr>
          <w:p w14:paraId="2DBED5F2" w14:textId="77777777" w:rsidR="00215660" w:rsidRPr="004041A2" w:rsidRDefault="00215660" w:rsidP="00D924CC">
            <w:pPr>
              <w:jc w:val="both"/>
              <w:rPr>
                <w:rFonts w:ascii="Arial" w:hAnsi="Arial" w:cs="Arial"/>
                <w:sz w:val="24"/>
              </w:rPr>
            </w:pPr>
            <w:r w:rsidRPr="004041A2">
              <w:rPr>
                <w:rFonts w:ascii="Arial" w:hAnsi="Arial" w:cs="Arial"/>
                <w:sz w:val="24"/>
              </w:rPr>
              <w:t>4/12</w:t>
            </w:r>
          </w:p>
        </w:tc>
        <w:tc>
          <w:tcPr>
            <w:tcW w:w="1880" w:type="dxa"/>
            <w:noWrap/>
            <w:hideMark/>
          </w:tcPr>
          <w:p w14:paraId="0D226967" w14:textId="77777777" w:rsidR="00215660" w:rsidRPr="00D924CC" w:rsidRDefault="00215660" w:rsidP="00D924CC">
            <w:pPr>
              <w:jc w:val="both"/>
              <w:rPr>
                <w:rFonts w:ascii="Arial" w:hAnsi="Arial" w:cs="Arial"/>
                <w:sz w:val="24"/>
              </w:rPr>
            </w:pPr>
            <w:r w:rsidRPr="004041A2">
              <w:rPr>
                <w:rFonts w:ascii="Arial" w:hAnsi="Arial" w:cs="Arial"/>
                <w:sz w:val="24"/>
              </w:rPr>
              <w:t>3/12</w:t>
            </w:r>
          </w:p>
        </w:tc>
      </w:tr>
    </w:tbl>
    <w:p w14:paraId="3019AC92" w14:textId="77777777" w:rsidR="00215660" w:rsidRPr="00D924CC" w:rsidRDefault="00215660" w:rsidP="00D924CC">
      <w:pPr>
        <w:jc w:val="both"/>
        <w:rPr>
          <w:rFonts w:cs="Arial"/>
        </w:rPr>
      </w:pPr>
    </w:p>
    <w:p w14:paraId="63FE3394" w14:textId="448166F2" w:rsidR="000C1B5D" w:rsidRPr="00D924CC" w:rsidRDefault="000C1B5D" w:rsidP="00D924CC">
      <w:pPr>
        <w:jc w:val="both"/>
        <w:rPr>
          <w:rFonts w:cs="Arial"/>
          <w:b/>
          <w:u w:val="single"/>
        </w:rPr>
      </w:pPr>
      <w:r w:rsidRPr="00D924CC">
        <w:rPr>
          <w:rFonts w:cs="Arial"/>
          <w:b/>
          <w:u w:val="single"/>
        </w:rPr>
        <w:t xml:space="preserve">High Needs Block (HNB) funding for Pupil Referral Unit </w:t>
      </w:r>
      <w:r w:rsidR="00104CE1">
        <w:rPr>
          <w:rFonts w:cs="Arial"/>
          <w:b/>
          <w:u w:val="single"/>
        </w:rPr>
        <w:t xml:space="preserve">(PRU) </w:t>
      </w:r>
      <w:r w:rsidR="004041A2">
        <w:rPr>
          <w:rFonts w:cs="Arial"/>
          <w:b/>
          <w:u w:val="single"/>
        </w:rPr>
        <w:t>2016/17</w:t>
      </w:r>
    </w:p>
    <w:p w14:paraId="2A0DAD1A" w14:textId="77777777" w:rsidR="00215660" w:rsidRPr="00D924CC" w:rsidRDefault="00215660" w:rsidP="00D924CC">
      <w:pPr>
        <w:pStyle w:val="NoSpacing"/>
        <w:jc w:val="both"/>
      </w:pPr>
    </w:p>
    <w:p w14:paraId="69B68D58" w14:textId="77777777" w:rsidR="00215660" w:rsidRPr="00D924CC" w:rsidRDefault="00215660" w:rsidP="00D924CC">
      <w:pPr>
        <w:pStyle w:val="NoSpacing"/>
        <w:jc w:val="both"/>
        <w:rPr>
          <w:b/>
        </w:rPr>
      </w:pPr>
      <w:r w:rsidRPr="00D924CC">
        <w:rPr>
          <w:b/>
        </w:rPr>
        <w:t>Base funding</w:t>
      </w:r>
    </w:p>
    <w:p w14:paraId="1B594D13" w14:textId="77777777" w:rsidR="00215660" w:rsidRPr="00D924CC" w:rsidRDefault="00215660" w:rsidP="00D924CC">
      <w:pPr>
        <w:pStyle w:val="NoSpacing"/>
        <w:jc w:val="both"/>
      </w:pPr>
      <w:r w:rsidRPr="004041A2">
        <w:t>Base funding will be provided at £</w:t>
      </w:r>
      <w:r w:rsidR="00CF2CF3" w:rsidRPr="004041A2">
        <w:t>10</w:t>
      </w:r>
      <w:r w:rsidRPr="004041A2">
        <w:t>,000 per funded place</w:t>
      </w:r>
      <w:r w:rsidR="004041A2" w:rsidRPr="004041A2">
        <w:t xml:space="preserve"> and</w:t>
      </w:r>
      <w:r w:rsidRPr="004041A2">
        <w:t xml:space="preserve"> is fixed for the year and will not be re-determined within the year.</w:t>
      </w:r>
    </w:p>
    <w:p w14:paraId="4BEE9F27" w14:textId="77777777" w:rsidR="00215660" w:rsidRPr="00D924CC" w:rsidRDefault="00215660" w:rsidP="00D924CC">
      <w:pPr>
        <w:pStyle w:val="NoSpacing"/>
        <w:jc w:val="both"/>
      </w:pPr>
    </w:p>
    <w:p w14:paraId="1C5C7F6D" w14:textId="77777777" w:rsidR="00215660" w:rsidRPr="00D924CC" w:rsidRDefault="00215660" w:rsidP="00D924CC">
      <w:pPr>
        <w:pStyle w:val="NoSpacing"/>
        <w:jc w:val="both"/>
      </w:pPr>
      <w:r w:rsidRPr="00D924CC">
        <w:t xml:space="preserve">PRUs will be expected to admit pupils in year up to the number </w:t>
      </w:r>
      <w:r w:rsidR="001A516B" w:rsidRPr="00D924CC">
        <w:t xml:space="preserve">of </w:t>
      </w:r>
      <w:r w:rsidRPr="00D924CC">
        <w:t>funded places.</w:t>
      </w:r>
    </w:p>
    <w:p w14:paraId="23912D6D" w14:textId="77777777" w:rsidR="00215660" w:rsidRPr="00D924CC" w:rsidRDefault="00215660" w:rsidP="00D924CC">
      <w:pPr>
        <w:pStyle w:val="NoSpacing"/>
        <w:jc w:val="both"/>
      </w:pPr>
    </w:p>
    <w:p w14:paraId="13886440" w14:textId="77777777" w:rsidR="00215660" w:rsidRPr="00D924CC" w:rsidRDefault="00215660" w:rsidP="00D924CC">
      <w:pPr>
        <w:pStyle w:val="NoSpacing"/>
        <w:jc w:val="both"/>
        <w:rPr>
          <w:b/>
        </w:rPr>
      </w:pPr>
      <w:r w:rsidRPr="00D924CC">
        <w:rPr>
          <w:b/>
        </w:rPr>
        <w:t>Place related top up</w:t>
      </w:r>
    </w:p>
    <w:p w14:paraId="727AA0D2" w14:textId="77777777" w:rsidR="00215660" w:rsidRPr="00D924CC" w:rsidRDefault="00215660" w:rsidP="006F182B">
      <w:pPr>
        <w:pStyle w:val="NoSpacing"/>
        <w:jc w:val="both"/>
      </w:pPr>
      <w:r w:rsidRPr="00D924CC">
        <w:t xml:space="preserve">It has been decided locally to supplement the base funding with additional place related top up, this will be re-determined termly in line with the PRU count dates in </w:t>
      </w:r>
      <w:r w:rsidR="006F182B">
        <w:t>January, May and October</w:t>
      </w:r>
      <w:r w:rsidRPr="00D924CC">
        <w:t>. This funding will be alloc</w:t>
      </w:r>
      <w:r w:rsidR="006F182B">
        <w:t xml:space="preserve">ated on a pro rata termly basis. </w:t>
      </w:r>
      <w:r w:rsidRPr="00D924CC">
        <w:t xml:space="preserve">If the total number of pupils on the census exceeds the number </w:t>
      </w:r>
      <w:r w:rsidR="001A516B" w:rsidRPr="00D924CC">
        <w:t>of</w:t>
      </w:r>
      <w:r w:rsidRPr="00D924CC">
        <w:t xml:space="preserve"> funded places then the PRU w</w:t>
      </w:r>
      <w:r w:rsidR="00D801F0">
        <w:t xml:space="preserve">ill receive an additional </w:t>
      </w:r>
      <w:r w:rsidR="001A516B" w:rsidRPr="00D924CC">
        <w:t>£</w:t>
      </w:r>
      <w:r w:rsidR="008B250C" w:rsidRPr="00D924CC">
        <w:t>10,000 pro</w:t>
      </w:r>
      <w:r w:rsidRPr="00D924CC">
        <w:t xml:space="preserve"> rata for that term for each place above that funded in the base funding.</w:t>
      </w:r>
    </w:p>
    <w:p w14:paraId="6578939E" w14:textId="77777777" w:rsidR="00CF2CF3" w:rsidRPr="00D924CC" w:rsidRDefault="00CF2CF3" w:rsidP="00D924CC">
      <w:pPr>
        <w:pStyle w:val="NoSpacing"/>
        <w:ind w:left="720"/>
        <w:jc w:val="both"/>
      </w:pPr>
    </w:p>
    <w:p w14:paraId="5DC41400" w14:textId="77777777" w:rsidR="00215660" w:rsidRPr="00D924CC" w:rsidRDefault="00215660" w:rsidP="00D924CC">
      <w:pPr>
        <w:pStyle w:val="NoSpacing"/>
        <w:jc w:val="both"/>
        <w:rPr>
          <w:b/>
        </w:rPr>
      </w:pPr>
      <w:r w:rsidRPr="00D924CC">
        <w:rPr>
          <w:b/>
        </w:rPr>
        <w:t>Pupil related top up funding</w:t>
      </w:r>
    </w:p>
    <w:p w14:paraId="46402AA7" w14:textId="77777777" w:rsidR="00215660" w:rsidRPr="00D924CC" w:rsidRDefault="00C76C84" w:rsidP="00D924CC">
      <w:pPr>
        <w:pStyle w:val="NoSpacing"/>
        <w:jc w:val="both"/>
      </w:pPr>
      <w:r w:rsidRPr="00D924CC">
        <w:t>Top</w:t>
      </w:r>
      <w:r w:rsidR="00215660" w:rsidRPr="00D924CC">
        <w:t xml:space="preserve"> up funding will be provided for:</w:t>
      </w:r>
    </w:p>
    <w:p w14:paraId="26B11CAA" w14:textId="77777777" w:rsidR="00215660" w:rsidRPr="00D924CC" w:rsidRDefault="00215660" w:rsidP="00D924CC">
      <w:pPr>
        <w:pStyle w:val="NoSpacing"/>
        <w:numPr>
          <w:ilvl w:val="0"/>
          <w:numId w:val="8"/>
        </w:numPr>
        <w:jc w:val="both"/>
      </w:pPr>
      <w:r w:rsidRPr="00D924CC">
        <w:t>Exclusions</w:t>
      </w:r>
      <w:r w:rsidR="006F182B">
        <w:t>;</w:t>
      </w:r>
    </w:p>
    <w:p w14:paraId="73A570FC" w14:textId="77777777" w:rsidR="00215660" w:rsidRPr="00D924CC" w:rsidRDefault="00215660" w:rsidP="00D924CC">
      <w:pPr>
        <w:pStyle w:val="NoSpacing"/>
        <w:numPr>
          <w:ilvl w:val="0"/>
          <w:numId w:val="8"/>
        </w:numPr>
        <w:jc w:val="both"/>
      </w:pPr>
      <w:r w:rsidRPr="00D924CC">
        <w:t>Medical needs</w:t>
      </w:r>
      <w:r w:rsidR="006F182B">
        <w:t>;</w:t>
      </w:r>
    </w:p>
    <w:p w14:paraId="2CEC5B79" w14:textId="77777777" w:rsidR="00215660" w:rsidRPr="00D924CC" w:rsidRDefault="00215660" w:rsidP="00D924CC">
      <w:pPr>
        <w:pStyle w:val="NoSpacing"/>
        <w:numPr>
          <w:ilvl w:val="0"/>
          <w:numId w:val="8"/>
        </w:numPr>
        <w:jc w:val="both"/>
      </w:pPr>
      <w:r w:rsidRPr="00D924CC">
        <w:t>Other needs</w:t>
      </w:r>
      <w:r w:rsidR="006F182B">
        <w:t>;</w:t>
      </w:r>
    </w:p>
    <w:p w14:paraId="027E0867" w14:textId="77777777" w:rsidR="00215660" w:rsidRPr="00D924CC" w:rsidRDefault="00215660" w:rsidP="00D924CC">
      <w:pPr>
        <w:pStyle w:val="NoSpacing"/>
        <w:numPr>
          <w:ilvl w:val="0"/>
          <w:numId w:val="8"/>
        </w:numPr>
        <w:jc w:val="both"/>
      </w:pPr>
      <w:r w:rsidRPr="00D924CC">
        <w:t>Primary support</w:t>
      </w:r>
      <w:r w:rsidR="006F182B">
        <w:t>.</w:t>
      </w:r>
    </w:p>
    <w:p w14:paraId="381509EC" w14:textId="77777777" w:rsidR="00215660" w:rsidRPr="00D924CC" w:rsidRDefault="00215660" w:rsidP="00D924CC">
      <w:pPr>
        <w:pStyle w:val="NoSpacing"/>
        <w:ind w:left="720"/>
        <w:jc w:val="both"/>
      </w:pPr>
    </w:p>
    <w:p w14:paraId="67ACE219" w14:textId="77777777" w:rsidR="00215660" w:rsidRPr="00D924CC" w:rsidRDefault="00215660" w:rsidP="00D924CC">
      <w:pPr>
        <w:pStyle w:val="NoSpacing"/>
        <w:jc w:val="both"/>
        <w:rPr>
          <w:b/>
        </w:rPr>
      </w:pPr>
      <w:r w:rsidRPr="00D924CC">
        <w:rPr>
          <w:b/>
        </w:rPr>
        <w:t xml:space="preserve">Re-determinations of top up funding </w:t>
      </w:r>
    </w:p>
    <w:p w14:paraId="6E6ABFBB" w14:textId="77777777" w:rsidR="00215660" w:rsidRPr="00D924CC" w:rsidRDefault="00215660" w:rsidP="00D924CC">
      <w:pPr>
        <w:pStyle w:val="NoSpacing"/>
        <w:jc w:val="both"/>
      </w:pPr>
      <w:r w:rsidRPr="00D924CC">
        <w:t>Top up Funding will be re-determined up or down in accordance with the Schools and Early Years Finance (England) Regulations. This will be applied to place related top up and pupil related top up funding, meaning budgets can increase or reduce</w:t>
      </w:r>
      <w:r w:rsidR="003D1074" w:rsidRPr="00D924CC">
        <w:t>.</w:t>
      </w:r>
    </w:p>
    <w:p w14:paraId="104A634B" w14:textId="77777777" w:rsidR="00215660" w:rsidRPr="00D924CC" w:rsidRDefault="00215660" w:rsidP="00D924CC">
      <w:pPr>
        <w:pStyle w:val="NoSpacing"/>
        <w:jc w:val="both"/>
      </w:pPr>
    </w:p>
    <w:p w14:paraId="10CFFF8D" w14:textId="77777777" w:rsidR="00215660" w:rsidRPr="00D924CC" w:rsidRDefault="00215660" w:rsidP="00D924CC">
      <w:pPr>
        <w:pStyle w:val="NoSpacing"/>
        <w:jc w:val="both"/>
      </w:pPr>
      <w:r w:rsidRPr="00D924CC">
        <w:t>Termly re-determinations wil</w:t>
      </w:r>
      <w:r w:rsidR="00CF2CF3" w:rsidRPr="00D924CC">
        <w:t xml:space="preserve">l be applied from </w:t>
      </w:r>
      <w:r w:rsidRPr="00D924CC">
        <w:t>in line with re-determinations of all schools and academies:</w:t>
      </w:r>
    </w:p>
    <w:p w14:paraId="168B8CC2" w14:textId="77777777" w:rsidR="00215660" w:rsidRPr="00D924CC" w:rsidRDefault="00215660" w:rsidP="00D924CC">
      <w:pPr>
        <w:pStyle w:val="NoSpacing"/>
        <w:jc w:val="both"/>
      </w:pPr>
    </w:p>
    <w:p w14:paraId="02A39B5D" w14:textId="77777777" w:rsidR="00215660" w:rsidRPr="002454B5" w:rsidRDefault="006F182B" w:rsidP="00D924CC">
      <w:pPr>
        <w:pStyle w:val="NoSpacing"/>
        <w:numPr>
          <w:ilvl w:val="0"/>
          <w:numId w:val="9"/>
        </w:numPr>
        <w:jc w:val="both"/>
      </w:pPr>
      <w:r w:rsidRPr="002454B5">
        <w:t>May</w:t>
      </w:r>
      <w:r w:rsidR="00215660" w:rsidRPr="002454B5">
        <w:t xml:space="preserve"> PRU count (April to August)</w:t>
      </w:r>
    </w:p>
    <w:p w14:paraId="598BEAB1" w14:textId="77777777" w:rsidR="00215660" w:rsidRPr="002454B5" w:rsidRDefault="006F182B" w:rsidP="00D924CC">
      <w:pPr>
        <w:pStyle w:val="NoSpacing"/>
        <w:numPr>
          <w:ilvl w:val="0"/>
          <w:numId w:val="9"/>
        </w:numPr>
        <w:jc w:val="both"/>
      </w:pPr>
      <w:r w:rsidRPr="002454B5">
        <w:t>October</w:t>
      </w:r>
      <w:r w:rsidR="00215660" w:rsidRPr="002454B5">
        <w:t xml:space="preserve"> PRU count (September to December)</w:t>
      </w:r>
    </w:p>
    <w:p w14:paraId="67B77313" w14:textId="77777777" w:rsidR="00215660" w:rsidRPr="002454B5" w:rsidRDefault="00A30DE6" w:rsidP="00D924CC">
      <w:pPr>
        <w:pStyle w:val="NoSpacing"/>
        <w:numPr>
          <w:ilvl w:val="0"/>
          <w:numId w:val="9"/>
        </w:numPr>
        <w:jc w:val="both"/>
      </w:pPr>
      <w:r>
        <w:t>January</w:t>
      </w:r>
      <w:r w:rsidRPr="002454B5">
        <w:t xml:space="preserve"> </w:t>
      </w:r>
      <w:r w:rsidR="00215660" w:rsidRPr="002454B5">
        <w:t>PRU count (January to March)</w:t>
      </w:r>
    </w:p>
    <w:p w14:paraId="72BD22B9" w14:textId="77777777" w:rsidR="00215660" w:rsidRPr="00D924CC" w:rsidRDefault="00215660" w:rsidP="00D924CC">
      <w:pPr>
        <w:pStyle w:val="NoSpacing"/>
        <w:jc w:val="both"/>
      </w:pPr>
    </w:p>
    <w:p w14:paraId="5CEA1090" w14:textId="77777777" w:rsidR="00215660" w:rsidRPr="00D924CC" w:rsidRDefault="00215660" w:rsidP="00D924CC">
      <w:pPr>
        <w:pStyle w:val="NoSpacing"/>
        <w:jc w:val="both"/>
        <w:rPr>
          <w:b/>
        </w:rPr>
      </w:pPr>
      <w:r w:rsidRPr="00D924CC">
        <w:rPr>
          <w:b/>
        </w:rPr>
        <w:t>Other funding</w:t>
      </w:r>
    </w:p>
    <w:p w14:paraId="1A8A39CF" w14:textId="33571ECB" w:rsidR="00215660" w:rsidRPr="00D924CC" w:rsidRDefault="00215660" w:rsidP="00D924CC">
      <w:pPr>
        <w:pStyle w:val="NoSpacing"/>
        <w:jc w:val="both"/>
      </w:pPr>
      <w:r w:rsidRPr="00D924CC">
        <w:t>In addition to the formula funding</w:t>
      </w:r>
      <w:r w:rsidR="00104CE1">
        <w:t>,</w:t>
      </w:r>
      <w:r w:rsidRPr="00D924CC">
        <w:t xml:space="preserve"> PRUs may receive funding for the following</w:t>
      </w:r>
      <w:r w:rsidR="003D1074" w:rsidRPr="00D924CC">
        <w:t>:</w:t>
      </w:r>
    </w:p>
    <w:p w14:paraId="43D87757" w14:textId="77777777" w:rsidR="00215660" w:rsidRPr="00D924CC" w:rsidRDefault="00215660" w:rsidP="00D924CC">
      <w:pPr>
        <w:pStyle w:val="NoSpacing"/>
        <w:jc w:val="both"/>
        <w:rPr>
          <w:u w:val="single"/>
        </w:rPr>
      </w:pPr>
    </w:p>
    <w:p w14:paraId="626726D6" w14:textId="3D3D71A6" w:rsidR="00215660" w:rsidRDefault="00A30DE6" w:rsidP="00D924CC">
      <w:pPr>
        <w:pStyle w:val="NoSpacing"/>
        <w:jc w:val="both"/>
      </w:pPr>
      <w:r>
        <w:rPr>
          <w:u w:val="single"/>
        </w:rPr>
        <w:t>C</w:t>
      </w:r>
      <w:r w:rsidR="00104CE1">
        <w:rPr>
          <w:u w:val="single"/>
        </w:rPr>
        <w:t>areers Education Information, Advice and Guidance (C</w:t>
      </w:r>
      <w:r>
        <w:rPr>
          <w:u w:val="single"/>
        </w:rPr>
        <w:t>EIAG</w:t>
      </w:r>
      <w:r w:rsidR="00104CE1">
        <w:rPr>
          <w:u w:val="single"/>
        </w:rPr>
        <w:t>)</w:t>
      </w:r>
      <w:r w:rsidRPr="00D924CC">
        <w:rPr>
          <w:u w:val="single"/>
        </w:rPr>
        <w:t xml:space="preserve"> </w:t>
      </w:r>
      <w:r w:rsidR="00215660" w:rsidRPr="00D924CC">
        <w:rPr>
          <w:u w:val="single"/>
        </w:rPr>
        <w:t>Secondary</w:t>
      </w:r>
      <w:r w:rsidR="00215660" w:rsidRPr="00D924CC">
        <w:t xml:space="preserve"> - The Forum ha</w:t>
      </w:r>
      <w:r w:rsidR="00104CE1">
        <w:t>s</w:t>
      </w:r>
      <w:r w:rsidR="00215660" w:rsidRPr="00D924CC">
        <w:t xml:space="preserve"> agreed to commission </w:t>
      </w:r>
      <w:r w:rsidR="00104CE1">
        <w:t>Young People's Services (</w:t>
      </w:r>
      <w:r w:rsidR="00215660" w:rsidRPr="00D924CC">
        <w:t>YPS</w:t>
      </w:r>
      <w:r w:rsidR="00104CE1">
        <w:t>)</w:t>
      </w:r>
      <w:r w:rsidR="00215660" w:rsidRPr="00D924CC">
        <w:t xml:space="preserve"> to continue to deliver C</w:t>
      </w:r>
      <w:r>
        <w:t>EIAG</w:t>
      </w:r>
      <w:r w:rsidR="00215660" w:rsidRPr="00D924CC">
        <w:t xml:space="preserve"> on behalf of PRUs for the </w:t>
      </w:r>
      <w:r w:rsidR="006F182B">
        <w:t>2016/17</w:t>
      </w:r>
      <w:r w:rsidR="00215660" w:rsidRPr="00D924CC">
        <w:t xml:space="preserve"> financial year. This funding will be </w:t>
      </w:r>
      <w:proofErr w:type="spellStart"/>
      <w:r w:rsidR="00215660" w:rsidRPr="00D924CC">
        <w:t>passported</w:t>
      </w:r>
      <w:proofErr w:type="spellEnd"/>
      <w:r w:rsidR="00215660" w:rsidRPr="00D924CC">
        <w:t xml:space="preserve"> to </w:t>
      </w:r>
      <w:r w:rsidR="006F182B">
        <w:t xml:space="preserve">Wellbeing, </w:t>
      </w:r>
      <w:r>
        <w:t>Prevention</w:t>
      </w:r>
      <w:r w:rsidR="006F182B">
        <w:t xml:space="preserve"> and Early help</w:t>
      </w:r>
      <w:r w:rsidR="00104CE1">
        <w:t xml:space="preserve"> in its entirety.</w:t>
      </w:r>
    </w:p>
    <w:p w14:paraId="12255513" w14:textId="77777777" w:rsidR="00104CE1" w:rsidRPr="00D924CC" w:rsidRDefault="00104CE1" w:rsidP="00D924CC">
      <w:pPr>
        <w:pStyle w:val="NoSpacing"/>
        <w:jc w:val="both"/>
      </w:pPr>
    </w:p>
    <w:p w14:paraId="2A49BE9A" w14:textId="77777777" w:rsidR="00215660" w:rsidRPr="00D924CC" w:rsidRDefault="00215660" w:rsidP="00D924CC">
      <w:pPr>
        <w:pStyle w:val="default"/>
        <w:jc w:val="both"/>
        <w:rPr>
          <w:b/>
        </w:rPr>
      </w:pPr>
    </w:p>
    <w:p w14:paraId="6A21F222" w14:textId="77777777" w:rsidR="00215660" w:rsidRPr="00D924CC" w:rsidRDefault="00215660" w:rsidP="00D924CC">
      <w:pPr>
        <w:pStyle w:val="NoSpacing"/>
        <w:jc w:val="both"/>
      </w:pPr>
      <w:r w:rsidRPr="00D924CC">
        <w:rPr>
          <w:u w:val="single"/>
        </w:rPr>
        <w:t>Pupils with statements</w:t>
      </w:r>
      <w:r w:rsidRPr="00D924CC">
        <w:t xml:space="preserve"> - Funding from the high needs block will also be provided for pupils with statements where the cost is above £10,000, this will be funded at the </w:t>
      </w:r>
      <w:r w:rsidR="006F182B">
        <w:t>2016/17</w:t>
      </w:r>
      <w:r w:rsidRPr="00D924CC">
        <w:t xml:space="preserve"> WPN rate.</w:t>
      </w:r>
    </w:p>
    <w:p w14:paraId="3352FA8A" w14:textId="77777777" w:rsidR="00215660" w:rsidRPr="00D924CC" w:rsidRDefault="00215660" w:rsidP="00D924CC">
      <w:pPr>
        <w:pStyle w:val="NoSpacing"/>
        <w:jc w:val="both"/>
      </w:pPr>
    </w:p>
    <w:p w14:paraId="11624119" w14:textId="77777777" w:rsidR="00215660" w:rsidRPr="00D924CC" w:rsidRDefault="00215660" w:rsidP="00D924CC">
      <w:pPr>
        <w:pStyle w:val="NoSpacing"/>
        <w:jc w:val="both"/>
        <w:rPr>
          <w:u w:val="single"/>
        </w:rPr>
      </w:pPr>
      <w:r w:rsidRPr="00D924CC">
        <w:rPr>
          <w:u w:val="single"/>
        </w:rPr>
        <w:t>One to One support</w:t>
      </w:r>
      <w:r w:rsidRPr="00D924CC">
        <w:t xml:space="preserve"> – Funding provided for via </w:t>
      </w:r>
      <w:r w:rsidR="006F182B">
        <w:t xml:space="preserve">the School Improvement Service </w:t>
      </w:r>
      <w:r w:rsidRPr="00D924CC">
        <w:t xml:space="preserve">for hard place pupils with significant additional needs such as one to one or two to one support. This funding will be agreed in an individual package basis. </w:t>
      </w:r>
    </w:p>
    <w:p w14:paraId="12EFB2AE" w14:textId="77777777" w:rsidR="00215660" w:rsidRPr="00D924CC" w:rsidRDefault="00215660" w:rsidP="00D924CC">
      <w:pPr>
        <w:pStyle w:val="NoSpacing"/>
        <w:jc w:val="both"/>
      </w:pPr>
    </w:p>
    <w:p w14:paraId="10A68226" w14:textId="77777777" w:rsidR="00215660" w:rsidRPr="006F182B" w:rsidRDefault="00215660" w:rsidP="00D924CC">
      <w:pPr>
        <w:jc w:val="both"/>
        <w:rPr>
          <w:rFonts w:cs="Arial"/>
          <w:b/>
          <w:u w:val="single"/>
        </w:rPr>
      </w:pPr>
      <w:r w:rsidRPr="006F182B">
        <w:rPr>
          <w:rFonts w:cs="Arial"/>
          <w:b/>
          <w:u w:val="single"/>
        </w:rPr>
        <w:t xml:space="preserve">Early Years Single Funding Formula (EYSFF) </w:t>
      </w:r>
      <w:r w:rsidR="006F182B" w:rsidRPr="006F182B">
        <w:rPr>
          <w:rFonts w:cs="Arial"/>
          <w:b/>
          <w:u w:val="single"/>
        </w:rPr>
        <w:t>2016/17</w:t>
      </w:r>
    </w:p>
    <w:p w14:paraId="5EDBAEFA" w14:textId="77777777" w:rsidR="00215660" w:rsidRPr="00D924CC" w:rsidRDefault="00215660" w:rsidP="00D924CC">
      <w:pPr>
        <w:jc w:val="both"/>
        <w:rPr>
          <w:rFonts w:cs="Arial"/>
        </w:rPr>
      </w:pPr>
      <w:r w:rsidRPr="006F182B">
        <w:rPr>
          <w:rFonts w:cs="Arial"/>
        </w:rPr>
        <w:t xml:space="preserve">The </w:t>
      </w:r>
      <w:r w:rsidR="006F182B" w:rsidRPr="006F182B">
        <w:rPr>
          <w:rFonts w:cs="Arial"/>
        </w:rPr>
        <w:t>2016/17</w:t>
      </w:r>
      <w:r w:rsidRPr="006F182B">
        <w:rPr>
          <w:rFonts w:cs="Arial"/>
        </w:rPr>
        <w:t xml:space="preserve"> guidance does not introduce any changes to the Early Years funding formulae nationally.</w:t>
      </w:r>
    </w:p>
    <w:p w14:paraId="2CD493BC" w14:textId="77777777" w:rsidR="00215660" w:rsidRPr="00D924CC" w:rsidRDefault="00215660" w:rsidP="00D924CC">
      <w:pPr>
        <w:jc w:val="both"/>
        <w:rPr>
          <w:rFonts w:cs="Arial"/>
        </w:rPr>
      </w:pPr>
    </w:p>
    <w:p w14:paraId="72346C75" w14:textId="77777777" w:rsidR="00215660" w:rsidRPr="00D924CC" w:rsidRDefault="00215660" w:rsidP="00D924CC">
      <w:pPr>
        <w:jc w:val="both"/>
        <w:rPr>
          <w:rFonts w:cs="Arial"/>
        </w:rPr>
      </w:pPr>
      <w:r w:rsidRPr="00D924CC">
        <w:rPr>
          <w:rFonts w:cs="Arial"/>
        </w:rPr>
        <w:t>The 3 and 4 year old formula will comprise:</w:t>
      </w:r>
    </w:p>
    <w:p w14:paraId="6031CA8D" w14:textId="77777777" w:rsidR="00215660" w:rsidRPr="00D924CC" w:rsidRDefault="00215660" w:rsidP="00D924CC">
      <w:pPr>
        <w:jc w:val="both"/>
        <w:rPr>
          <w:rFonts w:cs="Arial"/>
        </w:rPr>
      </w:pPr>
    </w:p>
    <w:p w14:paraId="71345B69" w14:textId="77777777" w:rsidR="00215660" w:rsidRPr="00D924CC" w:rsidRDefault="00215660" w:rsidP="00D924CC">
      <w:pPr>
        <w:pStyle w:val="ListParagraph"/>
        <w:numPr>
          <w:ilvl w:val="0"/>
          <w:numId w:val="7"/>
        </w:numPr>
        <w:jc w:val="both"/>
        <w:rPr>
          <w:rFonts w:cs="Arial"/>
        </w:rPr>
      </w:pPr>
      <w:r w:rsidRPr="00D924CC">
        <w:rPr>
          <w:rFonts w:cs="Arial"/>
        </w:rPr>
        <w:t>Base Rates;</w:t>
      </w:r>
    </w:p>
    <w:p w14:paraId="00A3C355" w14:textId="77777777" w:rsidR="00215660" w:rsidRPr="00D924CC" w:rsidRDefault="00215660" w:rsidP="00D924CC">
      <w:pPr>
        <w:pStyle w:val="ListParagraph"/>
        <w:numPr>
          <w:ilvl w:val="0"/>
          <w:numId w:val="7"/>
        </w:numPr>
        <w:jc w:val="both"/>
        <w:rPr>
          <w:rFonts w:cs="Arial"/>
        </w:rPr>
      </w:pPr>
      <w:r w:rsidRPr="00D924CC">
        <w:rPr>
          <w:rFonts w:cs="Arial"/>
        </w:rPr>
        <w:t>Deprivation Supplement;</w:t>
      </w:r>
    </w:p>
    <w:p w14:paraId="258954D8" w14:textId="77777777" w:rsidR="00215660" w:rsidRPr="00D924CC" w:rsidRDefault="00215660" w:rsidP="00D924CC">
      <w:pPr>
        <w:pStyle w:val="ListParagraph"/>
        <w:numPr>
          <w:ilvl w:val="0"/>
          <w:numId w:val="7"/>
        </w:numPr>
        <w:jc w:val="both"/>
        <w:rPr>
          <w:rFonts w:cs="Arial"/>
        </w:rPr>
      </w:pPr>
      <w:r w:rsidRPr="00D924CC">
        <w:rPr>
          <w:rFonts w:cs="Arial"/>
        </w:rPr>
        <w:t>Rurality Supplement;</w:t>
      </w:r>
    </w:p>
    <w:p w14:paraId="2088A875" w14:textId="77777777" w:rsidR="00215660" w:rsidRPr="00D924CC" w:rsidRDefault="00215660" w:rsidP="00D924CC">
      <w:pPr>
        <w:pStyle w:val="ListParagraph"/>
        <w:numPr>
          <w:ilvl w:val="0"/>
          <w:numId w:val="7"/>
        </w:numPr>
        <w:jc w:val="both"/>
        <w:rPr>
          <w:rFonts w:cs="Arial"/>
        </w:rPr>
      </w:pPr>
      <w:r w:rsidRPr="00D924CC">
        <w:rPr>
          <w:rFonts w:cs="Arial"/>
        </w:rPr>
        <w:t>Teachers Supplement;</w:t>
      </w:r>
    </w:p>
    <w:p w14:paraId="35B34225" w14:textId="77777777" w:rsidR="00215660" w:rsidRPr="00D924CC" w:rsidRDefault="00215660" w:rsidP="00D924CC">
      <w:pPr>
        <w:pStyle w:val="ListParagraph"/>
        <w:numPr>
          <w:ilvl w:val="0"/>
          <w:numId w:val="7"/>
        </w:numPr>
        <w:jc w:val="both"/>
        <w:rPr>
          <w:rFonts w:cs="Arial"/>
        </w:rPr>
      </w:pPr>
      <w:r w:rsidRPr="00D924CC">
        <w:rPr>
          <w:rFonts w:cs="Arial"/>
        </w:rPr>
        <w:t>PFI Supplement.</w:t>
      </w:r>
    </w:p>
    <w:p w14:paraId="38FD5906" w14:textId="77777777" w:rsidR="00215660" w:rsidRPr="00D924CC" w:rsidRDefault="00215660" w:rsidP="00D924CC">
      <w:pPr>
        <w:jc w:val="both"/>
        <w:rPr>
          <w:rFonts w:cs="Arial"/>
        </w:rPr>
      </w:pPr>
    </w:p>
    <w:p w14:paraId="6A4D1996" w14:textId="77777777" w:rsidR="00215660" w:rsidRPr="00D924CC" w:rsidRDefault="00215660" w:rsidP="00D924CC">
      <w:pPr>
        <w:jc w:val="both"/>
        <w:rPr>
          <w:rFonts w:cs="Arial"/>
        </w:rPr>
      </w:pPr>
      <w:r w:rsidRPr="00D924CC">
        <w:rPr>
          <w:rFonts w:cs="Arial"/>
        </w:rPr>
        <w:t>The 2 Year old formula will comprise:</w:t>
      </w:r>
    </w:p>
    <w:p w14:paraId="2ADB8A9A" w14:textId="77777777" w:rsidR="00215660" w:rsidRPr="00D924CC" w:rsidRDefault="00215660" w:rsidP="00D924CC">
      <w:pPr>
        <w:jc w:val="both"/>
        <w:rPr>
          <w:rFonts w:cs="Arial"/>
        </w:rPr>
      </w:pPr>
    </w:p>
    <w:p w14:paraId="4360FA21" w14:textId="77777777" w:rsidR="00215660" w:rsidRPr="00D924CC" w:rsidRDefault="00215660" w:rsidP="00D924CC">
      <w:pPr>
        <w:pStyle w:val="ListParagraph"/>
        <w:numPr>
          <w:ilvl w:val="0"/>
          <w:numId w:val="7"/>
        </w:numPr>
        <w:jc w:val="both"/>
        <w:rPr>
          <w:rFonts w:cs="Arial"/>
        </w:rPr>
      </w:pPr>
      <w:r w:rsidRPr="00D924CC">
        <w:rPr>
          <w:rFonts w:cs="Arial"/>
        </w:rPr>
        <w:t>2 year old base rate;</w:t>
      </w:r>
    </w:p>
    <w:p w14:paraId="7A68A910" w14:textId="77777777" w:rsidR="00215660" w:rsidRPr="00D924CC" w:rsidRDefault="00215660" w:rsidP="00D924CC">
      <w:pPr>
        <w:pStyle w:val="ListParagraph"/>
        <w:numPr>
          <w:ilvl w:val="0"/>
          <w:numId w:val="7"/>
        </w:numPr>
        <w:jc w:val="both"/>
        <w:rPr>
          <w:rFonts w:cs="Arial"/>
        </w:rPr>
      </w:pPr>
      <w:r w:rsidRPr="00D924CC">
        <w:rPr>
          <w:rFonts w:cs="Arial"/>
        </w:rPr>
        <w:t>Targeted support.</w:t>
      </w:r>
    </w:p>
    <w:sectPr w:rsidR="00215660" w:rsidRPr="00D924CC" w:rsidSect="00F56A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A359E" w14:textId="77777777" w:rsidR="003154BB" w:rsidRDefault="003154BB" w:rsidP="00D924CC">
      <w:r>
        <w:separator/>
      </w:r>
    </w:p>
  </w:endnote>
  <w:endnote w:type="continuationSeparator" w:id="0">
    <w:p w14:paraId="5928F5F1" w14:textId="77777777" w:rsidR="003154BB" w:rsidRDefault="003154BB" w:rsidP="00D9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B441F" w14:textId="77777777" w:rsidR="003154BB" w:rsidRDefault="003154BB" w:rsidP="00D924CC">
      <w:r>
        <w:separator/>
      </w:r>
    </w:p>
  </w:footnote>
  <w:footnote w:type="continuationSeparator" w:id="0">
    <w:p w14:paraId="4A274591" w14:textId="77777777" w:rsidR="003154BB" w:rsidRDefault="003154BB" w:rsidP="00D924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41D26"/>
    <w:multiLevelType w:val="hybridMultilevel"/>
    <w:tmpl w:val="C70CC3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7556ED"/>
    <w:multiLevelType w:val="hybridMultilevel"/>
    <w:tmpl w:val="FA6210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87CD2"/>
    <w:multiLevelType w:val="hybridMultilevel"/>
    <w:tmpl w:val="C49C1EF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595462"/>
    <w:multiLevelType w:val="hybridMultilevel"/>
    <w:tmpl w:val="242E8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308E6"/>
    <w:multiLevelType w:val="hybridMultilevel"/>
    <w:tmpl w:val="15DE2C2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00249"/>
    <w:multiLevelType w:val="hybridMultilevel"/>
    <w:tmpl w:val="946A29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2B13304"/>
    <w:multiLevelType w:val="hybridMultilevel"/>
    <w:tmpl w:val="A7085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D2299E"/>
    <w:multiLevelType w:val="hybridMultilevel"/>
    <w:tmpl w:val="D4041F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A72724"/>
    <w:multiLevelType w:val="hybridMultilevel"/>
    <w:tmpl w:val="C8D8A1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C21117"/>
    <w:multiLevelType w:val="hybridMultilevel"/>
    <w:tmpl w:val="39EEE4B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9D4FBF"/>
    <w:multiLevelType w:val="hybridMultilevel"/>
    <w:tmpl w:val="E5EADF3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E404084"/>
    <w:multiLevelType w:val="hybridMultilevel"/>
    <w:tmpl w:val="874299EC"/>
    <w:lvl w:ilvl="0" w:tplc="5348521A">
      <w:start w:val="3"/>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1D63F90"/>
    <w:multiLevelType w:val="hybridMultilevel"/>
    <w:tmpl w:val="85768998"/>
    <w:lvl w:ilvl="0" w:tplc="0C1A868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1F27060"/>
    <w:multiLevelType w:val="hybridMultilevel"/>
    <w:tmpl w:val="BF8AA38A"/>
    <w:lvl w:ilvl="0" w:tplc="8FB21FC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A93069F"/>
    <w:multiLevelType w:val="hybridMultilevel"/>
    <w:tmpl w:val="872649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812BEA"/>
    <w:multiLevelType w:val="hybridMultilevel"/>
    <w:tmpl w:val="F43E6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7F126F"/>
    <w:multiLevelType w:val="hybridMultilevel"/>
    <w:tmpl w:val="985EF0D2"/>
    <w:lvl w:ilvl="0" w:tplc="08090015">
      <w:start w:val="1"/>
      <w:numFmt w:val="upp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0630DAA"/>
    <w:multiLevelType w:val="hybridMultilevel"/>
    <w:tmpl w:val="4CBAD74E"/>
    <w:lvl w:ilvl="0" w:tplc="66A8ADE8">
      <w:start w:val="2"/>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771379A"/>
    <w:multiLevelType w:val="hybridMultilevel"/>
    <w:tmpl w:val="8520C6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9F3685B"/>
    <w:multiLevelType w:val="hybridMultilevel"/>
    <w:tmpl w:val="2FD672B8"/>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C57838"/>
    <w:multiLevelType w:val="hybridMultilevel"/>
    <w:tmpl w:val="B818FF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42F6F44"/>
    <w:multiLevelType w:val="hybridMultilevel"/>
    <w:tmpl w:val="CAE68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666D4E"/>
    <w:multiLevelType w:val="hybridMultilevel"/>
    <w:tmpl w:val="32403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A53744"/>
    <w:multiLevelType w:val="hybridMultilevel"/>
    <w:tmpl w:val="DC64A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452BC1"/>
    <w:multiLevelType w:val="hybridMultilevel"/>
    <w:tmpl w:val="97FE67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5F8B3026"/>
    <w:multiLevelType w:val="hybridMultilevel"/>
    <w:tmpl w:val="DEC27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EE5549"/>
    <w:multiLevelType w:val="hybridMultilevel"/>
    <w:tmpl w:val="1222F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9350EF"/>
    <w:multiLevelType w:val="hybridMultilevel"/>
    <w:tmpl w:val="543CE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BD29F2"/>
    <w:multiLevelType w:val="hybridMultilevel"/>
    <w:tmpl w:val="C82CFE90"/>
    <w:lvl w:ilvl="0" w:tplc="723A9D5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AE1649"/>
    <w:multiLevelType w:val="hybridMultilevel"/>
    <w:tmpl w:val="2EE42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6"/>
  </w:num>
  <w:num w:numId="4">
    <w:abstractNumId w:val="19"/>
  </w:num>
  <w:num w:numId="5">
    <w:abstractNumId w:val="2"/>
  </w:num>
  <w:num w:numId="6">
    <w:abstractNumId w:val="4"/>
  </w:num>
  <w:num w:numId="7">
    <w:abstractNumId w:val="7"/>
  </w:num>
  <w:num w:numId="8">
    <w:abstractNumId w:val="14"/>
  </w:num>
  <w:num w:numId="9">
    <w:abstractNumId w:val="29"/>
  </w:num>
  <w:num w:numId="10">
    <w:abstractNumId w:val="15"/>
  </w:num>
  <w:num w:numId="11">
    <w:abstractNumId w:val="12"/>
  </w:num>
  <w:num w:numId="12">
    <w:abstractNumId w:val="17"/>
  </w:num>
  <w:num w:numId="13">
    <w:abstractNumId w:val="11"/>
  </w:num>
  <w:num w:numId="14">
    <w:abstractNumId w:val="1"/>
  </w:num>
  <w:num w:numId="15">
    <w:abstractNumId w:val="3"/>
  </w:num>
  <w:num w:numId="16">
    <w:abstractNumId w:val="13"/>
  </w:num>
  <w:num w:numId="17">
    <w:abstractNumId w:val="0"/>
  </w:num>
  <w:num w:numId="18">
    <w:abstractNumId w:val="20"/>
  </w:num>
  <w:num w:numId="19">
    <w:abstractNumId w:val="25"/>
  </w:num>
  <w:num w:numId="20">
    <w:abstractNumId w:val="24"/>
  </w:num>
  <w:num w:numId="21">
    <w:abstractNumId w:val="22"/>
  </w:num>
  <w:num w:numId="22">
    <w:abstractNumId w:val="26"/>
  </w:num>
  <w:num w:numId="23">
    <w:abstractNumId w:val="9"/>
  </w:num>
  <w:num w:numId="24">
    <w:abstractNumId w:val="6"/>
  </w:num>
  <w:num w:numId="25">
    <w:abstractNumId w:val="28"/>
  </w:num>
  <w:num w:numId="26">
    <w:abstractNumId w:val="8"/>
  </w:num>
  <w:num w:numId="27">
    <w:abstractNumId w:val="21"/>
  </w:num>
  <w:num w:numId="28">
    <w:abstractNumId w:val="27"/>
  </w:num>
  <w:num w:numId="29">
    <w:abstractNumId w:val="23"/>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513"/>
    <w:rsid w:val="00014D4C"/>
    <w:rsid w:val="000233BE"/>
    <w:rsid w:val="0004036D"/>
    <w:rsid w:val="00042F96"/>
    <w:rsid w:val="00045E79"/>
    <w:rsid w:val="00051DEC"/>
    <w:rsid w:val="000654B1"/>
    <w:rsid w:val="00067918"/>
    <w:rsid w:val="00071A72"/>
    <w:rsid w:val="00085CB5"/>
    <w:rsid w:val="000B1A6C"/>
    <w:rsid w:val="000B5CA0"/>
    <w:rsid w:val="000C1B5D"/>
    <w:rsid w:val="000D0032"/>
    <w:rsid w:val="000E55F8"/>
    <w:rsid w:val="00104CE1"/>
    <w:rsid w:val="00115513"/>
    <w:rsid w:val="00120462"/>
    <w:rsid w:val="00154C92"/>
    <w:rsid w:val="00164BFC"/>
    <w:rsid w:val="001670C3"/>
    <w:rsid w:val="001A516B"/>
    <w:rsid w:val="001B02F7"/>
    <w:rsid w:val="001C6807"/>
    <w:rsid w:val="001D2B84"/>
    <w:rsid w:val="001E2065"/>
    <w:rsid w:val="00215660"/>
    <w:rsid w:val="0024122D"/>
    <w:rsid w:val="00242508"/>
    <w:rsid w:val="002454B5"/>
    <w:rsid w:val="00257513"/>
    <w:rsid w:val="00264EB9"/>
    <w:rsid w:val="00274FBA"/>
    <w:rsid w:val="002814F9"/>
    <w:rsid w:val="00291200"/>
    <w:rsid w:val="002B0A39"/>
    <w:rsid w:val="002C56A8"/>
    <w:rsid w:val="002F5477"/>
    <w:rsid w:val="003075D7"/>
    <w:rsid w:val="003154BB"/>
    <w:rsid w:val="00362E03"/>
    <w:rsid w:val="003B041F"/>
    <w:rsid w:val="003D1074"/>
    <w:rsid w:val="004041A2"/>
    <w:rsid w:val="00410CF0"/>
    <w:rsid w:val="0043648D"/>
    <w:rsid w:val="00462746"/>
    <w:rsid w:val="00473A6D"/>
    <w:rsid w:val="00486FAB"/>
    <w:rsid w:val="004B46BA"/>
    <w:rsid w:val="004B7BEE"/>
    <w:rsid w:val="004B7E1B"/>
    <w:rsid w:val="004C0042"/>
    <w:rsid w:val="004C5429"/>
    <w:rsid w:val="00505AD8"/>
    <w:rsid w:val="005431A2"/>
    <w:rsid w:val="005461C1"/>
    <w:rsid w:val="00562171"/>
    <w:rsid w:val="00583B17"/>
    <w:rsid w:val="005D52FD"/>
    <w:rsid w:val="005E3D5F"/>
    <w:rsid w:val="00603A46"/>
    <w:rsid w:val="00636FD1"/>
    <w:rsid w:val="0067022C"/>
    <w:rsid w:val="00670B14"/>
    <w:rsid w:val="006730B7"/>
    <w:rsid w:val="00673270"/>
    <w:rsid w:val="00681A0C"/>
    <w:rsid w:val="006D0DBC"/>
    <w:rsid w:val="006D74CB"/>
    <w:rsid w:val="006F182B"/>
    <w:rsid w:val="00706AB9"/>
    <w:rsid w:val="007104B7"/>
    <w:rsid w:val="00731337"/>
    <w:rsid w:val="007551F0"/>
    <w:rsid w:val="007637DB"/>
    <w:rsid w:val="007B1A7E"/>
    <w:rsid w:val="007B23E7"/>
    <w:rsid w:val="007C7B01"/>
    <w:rsid w:val="007D1E05"/>
    <w:rsid w:val="007E3DBA"/>
    <w:rsid w:val="00804360"/>
    <w:rsid w:val="00824BA3"/>
    <w:rsid w:val="00833C0F"/>
    <w:rsid w:val="0085021C"/>
    <w:rsid w:val="00854ECC"/>
    <w:rsid w:val="00860460"/>
    <w:rsid w:val="00864286"/>
    <w:rsid w:val="00866267"/>
    <w:rsid w:val="00866BD7"/>
    <w:rsid w:val="00881275"/>
    <w:rsid w:val="008A45C2"/>
    <w:rsid w:val="008B250C"/>
    <w:rsid w:val="008D10B9"/>
    <w:rsid w:val="008E6661"/>
    <w:rsid w:val="00917287"/>
    <w:rsid w:val="0093450E"/>
    <w:rsid w:val="00940293"/>
    <w:rsid w:val="009562F4"/>
    <w:rsid w:val="009625F4"/>
    <w:rsid w:val="00997E5D"/>
    <w:rsid w:val="009A6CFA"/>
    <w:rsid w:val="009F0648"/>
    <w:rsid w:val="009F59A6"/>
    <w:rsid w:val="00A30DE6"/>
    <w:rsid w:val="00A345EE"/>
    <w:rsid w:val="00A40675"/>
    <w:rsid w:val="00A549B6"/>
    <w:rsid w:val="00A577F2"/>
    <w:rsid w:val="00A66163"/>
    <w:rsid w:val="00AA77A1"/>
    <w:rsid w:val="00AD6C1E"/>
    <w:rsid w:val="00AF66CA"/>
    <w:rsid w:val="00B04217"/>
    <w:rsid w:val="00B14F29"/>
    <w:rsid w:val="00B3239E"/>
    <w:rsid w:val="00B50C73"/>
    <w:rsid w:val="00B53BBF"/>
    <w:rsid w:val="00B71A9D"/>
    <w:rsid w:val="00BC54D5"/>
    <w:rsid w:val="00BD2C2E"/>
    <w:rsid w:val="00BF5755"/>
    <w:rsid w:val="00BF7EFB"/>
    <w:rsid w:val="00C1396F"/>
    <w:rsid w:val="00C16EB8"/>
    <w:rsid w:val="00C522EF"/>
    <w:rsid w:val="00C76C84"/>
    <w:rsid w:val="00CA41F9"/>
    <w:rsid w:val="00CC6D91"/>
    <w:rsid w:val="00CC7373"/>
    <w:rsid w:val="00CF2CF3"/>
    <w:rsid w:val="00D03FA2"/>
    <w:rsid w:val="00D25AD0"/>
    <w:rsid w:val="00D70A14"/>
    <w:rsid w:val="00D7488F"/>
    <w:rsid w:val="00D801F0"/>
    <w:rsid w:val="00D81165"/>
    <w:rsid w:val="00D924CC"/>
    <w:rsid w:val="00DA79A7"/>
    <w:rsid w:val="00DB5CB5"/>
    <w:rsid w:val="00DB6125"/>
    <w:rsid w:val="00DB694B"/>
    <w:rsid w:val="00DE1C47"/>
    <w:rsid w:val="00E46999"/>
    <w:rsid w:val="00E84C4B"/>
    <w:rsid w:val="00EA11F4"/>
    <w:rsid w:val="00EA421D"/>
    <w:rsid w:val="00EB3192"/>
    <w:rsid w:val="00EB3423"/>
    <w:rsid w:val="00EB53E2"/>
    <w:rsid w:val="00EC03A9"/>
    <w:rsid w:val="00EC2DD0"/>
    <w:rsid w:val="00EC5ADD"/>
    <w:rsid w:val="00ED6987"/>
    <w:rsid w:val="00EF0843"/>
    <w:rsid w:val="00F00194"/>
    <w:rsid w:val="00F11122"/>
    <w:rsid w:val="00F138B8"/>
    <w:rsid w:val="00F2593F"/>
    <w:rsid w:val="00F30CFA"/>
    <w:rsid w:val="00F56A27"/>
    <w:rsid w:val="00F60F85"/>
    <w:rsid w:val="00F611B5"/>
    <w:rsid w:val="00F65013"/>
    <w:rsid w:val="00F76C5B"/>
    <w:rsid w:val="00F95898"/>
    <w:rsid w:val="00FE31F7"/>
    <w:rsid w:val="00FF4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28C8D"/>
  <w15:docId w15:val="{BCF5050D-FF36-4EBA-9BA4-2A7EF9A8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513"/>
    <w:pPr>
      <w:spacing w:after="0" w:line="240" w:lineRule="auto"/>
    </w:pPr>
    <w:rPr>
      <w:rFonts w:eastAsia="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13"/>
    <w:pPr>
      <w:spacing w:after="0" w:line="240" w:lineRule="auto"/>
    </w:pPr>
    <w:rPr>
      <w:rFonts w:cs="Arial"/>
      <w:szCs w:val="24"/>
    </w:rPr>
  </w:style>
  <w:style w:type="paragraph" w:styleId="ListParagraph">
    <w:name w:val="List Paragraph"/>
    <w:basedOn w:val="Normal"/>
    <w:link w:val="ListParagraphChar"/>
    <w:uiPriority w:val="34"/>
    <w:qFormat/>
    <w:rsid w:val="00115513"/>
    <w:pPr>
      <w:ind w:left="720"/>
      <w:contextualSpacing/>
    </w:pPr>
  </w:style>
  <w:style w:type="table" w:styleId="TableGrid">
    <w:name w:val="Table Grid"/>
    <w:basedOn w:val="TableNormal"/>
    <w:rsid w:val="0011551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115513"/>
    <w:rPr>
      <w:rFonts w:eastAsia="Times New Roman" w:cs="Times New Roman"/>
      <w:szCs w:val="24"/>
      <w:lang w:eastAsia="en-GB"/>
    </w:rPr>
  </w:style>
  <w:style w:type="paragraph" w:customStyle="1" w:styleId="default">
    <w:name w:val="default"/>
    <w:basedOn w:val="Normal"/>
    <w:rsid w:val="00215660"/>
    <w:pPr>
      <w:autoSpaceDE w:val="0"/>
      <w:autoSpaceDN w:val="0"/>
    </w:pPr>
    <w:rPr>
      <w:rFonts w:eastAsiaTheme="minorHAnsi" w:cs="Arial"/>
      <w:color w:val="000000"/>
    </w:rPr>
  </w:style>
  <w:style w:type="character" w:styleId="CommentReference">
    <w:name w:val="annotation reference"/>
    <w:basedOn w:val="DefaultParagraphFont"/>
    <w:uiPriority w:val="99"/>
    <w:semiHidden/>
    <w:unhideWhenUsed/>
    <w:rsid w:val="00CF2CF3"/>
    <w:rPr>
      <w:sz w:val="16"/>
      <w:szCs w:val="16"/>
    </w:rPr>
  </w:style>
  <w:style w:type="paragraph" w:styleId="CommentText">
    <w:name w:val="annotation text"/>
    <w:basedOn w:val="Normal"/>
    <w:link w:val="CommentTextChar"/>
    <w:uiPriority w:val="99"/>
    <w:semiHidden/>
    <w:unhideWhenUsed/>
    <w:rsid w:val="00CF2CF3"/>
    <w:rPr>
      <w:sz w:val="20"/>
      <w:szCs w:val="20"/>
    </w:rPr>
  </w:style>
  <w:style w:type="character" w:customStyle="1" w:styleId="CommentTextChar">
    <w:name w:val="Comment Text Char"/>
    <w:basedOn w:val="DefaultParagraphFont"/>
    <w:link w:val="CommentText"/>
    <w:uiPriority w:val="99"/>
    <w:semiHidden/>
    <w:rsid w:val="00CF2CF3"/>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F2CF3"/>
    <w:rPr>
      <w:b/>
      <w:bCs/>
    </w:rPr>
  </w:style>
  <w:style w:type="character" w:customStyle="1" w:styleId="CommentSubjectChar">
    <w:name w:val="Comment Subject Char"/>
    <w:basedOn w:val="CommentTextChar"/>
    <w:link w:val="CommentSubject"/>
    <w:uiPriority w:val="99"/>
    <w:semiHidden/>
    <w:rsid w:val="00CF2CF3"/>
    <w:rPr>
      <w:rFonts w:eastAsia="Times New Roman" w:cs="Times New Roman"/>
      <w:b/>
      <w:bCs/>
      <w:sz w:val="20"/>
      <w:szCs w:val="20"/>
      <w:lang w:eastAsia="en-GB"/>
    </w:rPr>
  </w:style>
  <w:style w:type="paragraph" w:styleId="BalloonText">
    <w:name w:val="Balloon Text"/>
    <w:basedOn w:val="Normal"/>
    <w:link w:val="BalloonTextChar"/>
    <w:uiPriority w:val="99"/>
    <w:semiHidden/>
    <w:unhideWhenUsed/>
    <w:rsid w:val="00CF2C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CF3"/>
    <w:rPr>
      <w:rFonts w:ascii="Segoe UI" w:eastAsia="Times New Roman" w:hAnsi="Segoe UI" w:cs="Segoe UI"/>
      <w:sz w:val="18"/>
      <w:szCs w:val="18"/>
      <w:lang w:eastAsia="en-GB"/>
    </w:rPr>
  </w:style>
  <w:style w:type="paragraph" w:styleId="Header">
    <w:name w:val="header"/>
    <w:basedOn w:val="Normal"/>
    <w:link w:val="HeaderChar"/>
    <w:uiPriority w:val="99"/>
    <w:rsid w:val="00EC03A9"/>
    <w:rPr>
      <w:szCs w:val="20"/>
    </w:rPr>
  </w:style>
  <w:style w:type="character" w:customStyle="1" w:styleId="HeaderChar">
    <w:name w:val="Header Char"/>
    <w:basedOn w:val="DefaultParagraphFont"/>
    <w:link w:val="Header"/>
    <w:uiPriority w:val="99"/>
    <w:rsid w:val="00EC03A9"/>
    <w:rPr>
      <w:rFonts w:eastAsia="Times New Roman" w:cs="Times New Roman"/>
      <w:szCs w:val="20"/>
      <w:lang w:eastAsia="en-GB"/>
    </w:rPr>
  </w:style>
  <w:style w:type="character" w:styleId="Strong">
    <w:name w:val="Strong"/>
    <w:basedOn w:val="DefaultParagraphFont"/>
    <w:uiPriority w:val="22"/>
    <w:qFormat/>
    <w:rsid w:val="00EC03A9"/>
    <w:rPr>
      <w:b/>
      <w:bCs/>
    </w:rPr>
  </w:style>
  <w:style w:type="paragraph" w:customStyle="1" w:styleId="Default0">
    <w:name w:val="Default"/>
    <w:rsid w:val="00917287"/>
    <w:pPr>
      <w:autoSpaceDE w:val="0"/>
      <w:autoSpaceDN w:val="0"/>
      <w:adjustRightInd w:val="0"/>
      <w:spacing w:after="0" w:line="240" w:lineRule="auto"/>
    </w:pPr>
    <w:rPr>
      <w:rFonts w:cs="Arial"/>
      <w:color w:val="000000"/>
      <w:szCs w:val="24"/>
    </w:rPr>
  </w:style>
  <w:style w:type="paragraph" w:styleId="Footer">
    <w:name w:val="footer"/>
    <w:basedOn w:val="Normal"/>
    <w:link w:val="FooterChar"/>
    <w:uiPriority w:val="99"/>
    <w:unhideWhenUsed/>
    <w:rsid w:val="00D924CC"/>
    <w:pPr>
      <w:tabs>
        <w:tab w:val="center" w:pos="4513"/>
        <w:tab w:val="right" w:pos="9026"/>
      </w:tabs>
    </w:pPr>
  </w:style>
  <w:style w:type="character" w:customStyle="1" w:styleId="FooterChar">
    <w:name w:val="Footer Char"/>
    <w:basedOn w:val="DefaultParagraphFont"/>
    <w:link w:val="Footer"/>
    <w:uiPriority w:val="99"/>
    <w:rsid w:val="00D924CC"/>
    <w:rPr>
      <w:rFonts w:eastAsia="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60064">
      <w:bodyDiv w:val="1"/>
      <w:marLeft w:val="0"/>
      <w:marRight w:val="0"/>
      <w:marTop w:val="0"/>
      <w:marBottom w:val="0"/>
      <w:divBdr>
        <w:top w:val="none" w:sz="0" w:space="0" w:color="auto"/>
        <w:left w:val="none" w:sz="0" w:space="0" w:color="auto"/>
        <w:bottom w:val="none" w:sz="0" w:space="0" w:color="auto"/>
        <w:right w:val="none" w:sz="0" w:space="0" w:color="auto"/>
      </w:divBdr>
    </w:div>
    <w:div w:id="148059424">
      <w:bodyDiv w:val="1"/>
      <w:marLeft w:val="0"/>
      <w:marRight w:val="0"/>
      <w:marTop w:val="0"/>
      <w:marBottom w:val="0"/>
      <w:divBdr>
        <w:top w:val="none" w:sz="0" w:space="0" w:color="auto"/>
        <w:left w:val="none" w:sz="0" w:space="0" w:color="auto"/>
        <w:bottom w:val="none" w:sz="0" w:space="0" w:color="auto"/>
        <w:right w:val="none" w:sz="0" w:space="0" w:color="auto"/>
      </w:divBdr>
    </w:div>
    <w:div w:id="176161686">
      <w:bodyDiv w:val="1"/>
      <w:marLeft w:val="0"/>
      <w:marRight w:val="0"/>
      <w:marTop w:val="0"/>
      <w:marBottom w:val="0"/>
      <w:divBdr>
        <w:top w:val="none" w:sz="0" w:space="0" w:color="auto"/>
        <w:left w:val="none" w:sz="0" w:space="0" w:color="auto"/>
        <w:bottom w:val="none" w:sz="0" w:space="0" w:color="auto"/>
        <w:right w:val="none" w:sz="0" w:space="0" w:color="auto"/>
      </w:divBdr>
    </w:div>
    <w:div w:id="348146989">
      <w:bodyDiv w:val="1"/>
      <w:marLeft w:val="0"/>
      <w:marRight w:val="0"/>
      <w:marTop w:val="0"/>
      <w:marBottom w:val="0"/>
      <w:divBdr>
        <w:top w:val="none" w:sz="0" w:space="0" w:color="auto"/>
        <w:left w:val="none" w:sz="0" w:space="0" w:color="auto"/>
        <w:bottom w:val="none" w:sz="0" w:space="0" w:color="auto"/>
        <w:right w:val="none" w:sz="0" w:space="0" w:color="auto"/>
      </w:divBdr>
    </w:div>
    <w:div w:id="360980655">
      <w:bodyDiv w:val="1"/>
      <w:marLeft w:val="0"/>
      <w:marRight w:val="0"/>
      <w:marTop w:val="0"/>
      <w:marBottom w:val="0"/>
      <w:divBdr>
        <w:top w:val="none" w:sz="0" w:space="0" w:color="auto"/>
        <w:left w:val="none" w:sz="0" w:space="0" w:color="auto"/>
        <w:bottom w:val="none" w:sz="0" w:space="0" w:color="auto"/>
        <w:right w:val="none" w:sz="0" w:space="0" w:color="auto"/>
      </w:divBdr>
    </w:div>
    <w:div w:id="463697520">
      <w:bodyDiv w:val="1"/>
      <w:marLeft w:val="0"/>
      <w:marRight w:val="0"/>
      <w:marTop w:val="0"/>
      <w:marBottom w:val="0"/>
      <w:divBdr>
        <w:top w:val="none" w:sz="0" w:space="0" w:color="auto"/>
        <w:left w:val="none" w:sz="0" w:space="0" w:color="auto"/>
        <w:bottom w:val="none" w:sz="0" w:space="0" w:color="auto"/>
        <w:right w:val="none" w:sz="0" w:space="0" w:color="auto"/>
      </w:divBdr>
    </w:div>
    <w:div w:id="864713392">
      <w:bodyDiv w:val="1"/>
      <w:marLeft w:val="0"/>
      <w:marRight w:val="0"/>
      <w:marTop w:val="0"/>
      <w:marBottom w:val="0"/>
      <w:divBdr>
        <w:top w:val="none" w:sz="0" w:space="0" w:color="auto"/>
        <w:left w:val="none" w:sz="0" w:space="0" w:color="auto"/>
        <w:bottom w:val="none" w:sz="0" w:space="0" w:color="auto"/>
        <w:right w:val="none" w:sz="0" w:space="0" w:color="auto"/>
      </w:divBdr>
    </w:div>
    <w:div w:id="921185960">
      <w:bodyDiv w:val="1"/>
      <w:marLeft w:val="0"/>
      <w:marRight w:val="0"/>
      <w:marTop w:val="0"/>
      <w:marBottom w:val="0"/>
      <w:divBdr>
        <w:top w:val="none" w:sz="0" w:space="0" w:color="auto"/>
        <w:left w:val="none" w:sz="0" w:space="0" w:color="auto"/>
        <w:bottom w:val="none" w:sz="0" w:space="0" w:color="auto"/>
        <w:right w:val="none" w:sz="0" w:space="0" w:color="auto"/>
      </w:divBdr>
    </w:div>
    <w:div w:id="1016729371">
      <w:bodyDiv w:val="1"/>
      <w:marLeft w:val="0"/>
      <w:marRight w:val="0"/>
      <w:marTop w:val="0"/>
      <w:marBottom w:val="0"/>
      <w:divBdr>
        <w:top w:val="none" w:sz="0" w:space="0" w:color="auto"/>
        <w:left w:val="none" w:sz="0" w:space="0" w:color="auto"/>
        <w:bottom w:val="none" w:sz="0" w:space="0" w:color="auto"/>
        <w:right w:val="none" w:sz="0" w:space="0" w:color="auto"/>
      </w:divBdr>
    </w:div>
    <w:div w:id="1029254676">
      <w:bodyDiv w:val="1"/>
      <w:marLeft w:val="0"/>
      <w:marRight w:val="0"/>
      <w:marTop w:val="0"/>
      <w:marBottom w:val="0"/>
      <w:divBdr>
        <w:top w:val="none" w:sz="0" w:space="0" w:color="auto"/>
        <w:left w:val="none" w:sz="0" w:space="0" w:color="auto"/>
        <w:bottom w:val="none" w:sz="0" w:space="0" w:color="auto"/>
        <w:right w:val="none" w:sz="0" w:space="0" w:color="auto"/>
      </w:divBdr>
    </w:div>
    <w:div w:id="1070033827">
      <w:bodyDiv w:val="1"/>
      <w:marLeft w:val="0"/>
      <w:marRight w:val="0"/>
      <w:marTop w:val="0"/>
      <w:marBottom w:val="0"/>
      <w:divBdr>
        <w:top w:val="none" w:sz="0" w:space="0" w:color="auto"/>
        <w:left w:val="none" w:sz="0" w:space="0" w:color="auto"/>
        <w:bottom w:val="none" w:sz="0" w:space="0" w:color="auto"/>
        <w:right w:val="none" w:sz="0" w:space="0" w:color="auto"/>
      </w:divBdr>
    </w:div>
    <w:div w:id="1172261909">
      <w:bodyDiv w:val="1"/>
      <w:marLeft w:val="0"/>
      <w:marRight w:val="0"/>
      <w:marTop w:val="0"/>
      <w:marBottom w:val="0"/>
      <w:divBdr>
        <w:top w:val="none" w:sz="0" w:space="0" w:color="auto"/>
        <w:left w:val="none" w:sz="0" w:space="0" w:color="auto"/>
        <w:bottom w:val="none" w:sz="0" w:space="0" w:color="auto"/>
        <w:right w:val="none" w:sz="0" w:space="0" w:color="auto"/>
      </w:divBdr>
    </w:div>
    <w:div w:id="1482580432">
      <w:bodyDiv w:val="1"/>
      <w:marLeft w:val="0"/>
      <w:marRight w:val="0"/>
      <w:marTop w:val="0"/>
      <w:marBottom w:val="0"/>
      <w:divBdr>
        <w:top w:val="none" w:sz="0" w:space="0" w:color="auto"/>
        <w:left w:val="none" w:sz="0" w:space="0" w:color="auto"/>
        <w:bottom w:val="none" w:sz="0" w:space="0" w:color="auto"/>
        <w:right w:val="none" w:sz="0" w:space="0" w:color="auto"/>
      </w:divBdr>
    </w:div>
    <w:div w:id="1596741742">
      <w:bodyDiv w:val="1"/>
      <w:marLeft w:val="0"/>
      <w:marRight w:val="0"/>
      <w:marTop w:val="0"/>
      <w:marBottom w:val="0"/>
      <w:divBdr>
        <w:top w:val="none" w:sz="0" w:space="0" w:color="auto"/>
        <w:left w:val="none" w:sz="0" w:space="0" w:color="auto"/>
        <w:bottom w:val="none" w:sz="0" w:space="0" w:color="auto"/>
        <w:right w:val="none" w:sz="0" w:space="0" w:color="auto"/>
      </w:divBdr>
    </w:div>
    <w:div w:id="1620916850">
      <w:bodyDiv w:val="1"/>
      <w:marLeft w:val="0"/>
      <w:marRight w:val="0"/>
      <w:marTop w:val="0"/>
      <w:marBottom w:val="0"/>
      <w:divBdr>
        <w:top w:val="none" w:sz="0" w:space="0" w:color="auto"/>
        <w:left w:val="none" w:sz="0" w:space="0" w:color="auto"/>
        <w:bottom w:val="none" w:sz="0" w:space="0" w:color="auto"/>
        <w:right w:val="none" w:sz="0" w:space="0" w:color="auto"/>
      </w:divBdr>
    </w:div>
    <w:div w:id="1863667693">
      <w:bodyDiv w:val="1"/>
      <w:marLeft w:val="0"/>
      <w:marRight w:val="0"/>
      <w:marTop w:val="0"/>
      <w:marBottom w:val="0"/>
      <w:divBdr>
        <w:top w:val="none" w:sz="0" w:space="0" w:color="auto"/>
        <w:left w:val="none" w:sz="0" w:space="0" w:color="auto"/>
        <w:bottom w:val="none" w:sz="0" w:space="0" w:color="auto"/>
        <w:right w:val="none" w:sz="0" w:space="0" w:color="auto"/>
      </w:divBdr>
    </w:div>
    <w:div w:id="1882866673">
      <w:bodyDiv w:val="1"/>
      <w:marLeft w:val="0"/>
      <w:marRight w:val="0"/>
      <w:marTop w:val="0"/>
      <w:marBottom w:val="0"/>
      <w:divBdr>
        <w:top w:val="none" w:sz="0" w:space="0" w:color="auto"/>
        <w:left w:val="none" w:sz="0" w:space="0" w:color="auto"/>
        <w:bottom w:val="none" w:sz="0" w:space="0" w:color="auto"/>
        <w:right w:val="none" w:sz="0" w:space="0" w:color="auto"/>
      </w:divBdr>
    </w:div>
    <w:div w:id="2004888054">
      <w:bodyDiv w:val="1"/>
      <w:marLeft w:val="0"/>
      <w:marRight w:val="0"/>
      <w:marTop w:val="0"/>
      <w:marBottom w:val="0"/>
      <w:divBdr>
        <w:top w:val="none" w:sz="0" w:space="0" w:color="auto"/>
        <w:left w:val="none" w:sz="0" w:space="0" w:color="auto"/>
        <w:bottom w:val="none" w:sz="0" w:space="0" w:color="auto"/>
        <w:right w:val="none" w:sz="0" w:space="0" w:color="auto"/>
      </w:divBdr>
    </w:div>
    <w:div w:id="206756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0D3FC-8EA1-474A-9CC9-2CF53D319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13</Pages>
  <Words>3318</Words>
  <Characters>18919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pbonser001</dc:creator>
  <cp:lastModifiedBy>Mills, Joanne</cp:lastModifiedBy>
  <cp:revision>4</cp:revision>
  <cp:lastPrinted>2015-12-18T12:39:00Z</cp:lastPrinted>
  <dcterms:created xsi:type="dcterms:W3CDTF">2015-12-21T11:02:00Z</dcterms:created>
  <dcterms:modified xsi:type="dcterms:W3CDTF">2015-12-21T11:58:00Z</dcterms:modified>
</cp:coreProperties>
</file>